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C" w:rsidRDefault="009F77AC"/>
    <w:p w:rsidR="009F77AC" w:rsidRDefault="009F77AC"/>
    <w:p w:rsidR="009F77AC" w:rsidRDefault="00727309" w:rsidP="00727309">
      <w:pPr>
        <w:tabs>
          <w:tab w:val="left" w:pos="6675"/>
        </w:tabs>
      </w:pPr>
      <w:r>
        <w:tab/>
      </w:r>
    </w:p>
    <w:p w:rsidR="009F77AC" w:rsidRDefault="009F77AC"/>
    <w:p w:rsidR="009F77AC" w:rsidRDefault="00704765" w:rsidP="00704765">
      <w:pPr>
        <w:tabs>
          <w:tab w:val="left" w:pos="6942"/>
        </w:tabs>
      </w:pPr>
      <w:r>
        <w:tab/>
      </w:r>
    </w:p>
    <w:p w:rsidR="009F77AC" w:rsidRDefault="009F77AC"/>
    <w:p w:rsidR="009F77AC" w:rsidRDefault="009F77AC"/>
    <w:p w:rsidR="009F77AC" w:rsidRDefault="009F77AC"/>
    <w:p w:rsidR="000F7B34" w:rsidRDefault="000F7B34"/>
    <w:p w:rsidR="000F7B34" w:rsidRDefault="000F7B34"/>
    <w:p w:rsidR="008A4FAD" w:rsidRDefault="008A4FAD" w:rsidP="009F77AC">
      <w:pPr>
        <w:jc w:val="right"/>
        <w:rPr>
          <w:rFonts w:ascii="Arial" w:hAnsi="Arial" w:cs="Arial"/>
          <w:b/>
          <w:bCs/>
          <w:kern w:val="28"/>
          <w:sz w:val="48"/>
          <w:szCs w:val="48"/>
          <w:lang w:val="en-GB"/>
        </w:rPr>
      </w:pPr>
    </w:p>
    <w:p w:rsidR="009F77AC" w:rsidRPr="009A08C4" w:rsidRDefault="001669F9" w:rsidP="009F77AC">
      <w:pPr>
        <w:jc w:val="right"/>
        <w:rPr>
          <w:rFonts w:ascii="Arial" w:hAnsi="Arial" w:cs="Arial"/>
          <w:b/>
          <w:bCs/>
          <w:kern w:val="28"/>
          <w:sz w:val="56"/>
          <w:szCs w:val="48"/>
          <w:lang w:val="en-GB"/>
        </w:rPr>
      </w:pPr>
      <w:r>
        <w:rPr>
          <w:rFonts w:ascii="Arial" w:hAnsi="Arial" w:cs="Arial"/>
          <w:b/>
          <w:bCs/>
          <w:kern w:val="28"/>
          <w:sz w:val="56"/>
          <w:szCs w:val="48"/>
          <w:lang w:val="en-GB"/>
        </w:rPr>
        <w:t xml:space="preserve">Media </w:t>
      </w:r>
      <w:r w:rsidR="009366DF">
        <w:rPr>
          <w:rFonts w:ascii="Arial" w:hAnsi="Arial" w:cs="Arial"/>
          <w:b/>
          <w:bCs/>
          <w:kern w:val="28"/>
          <w:sz w:val="56"/>
          <w:szCs w:val="48"/>
          <w:lang w:val="en-GB"/>
        </w:rPr>
        <w:t xml:space="preserve">Manifest </w:t>
      </w:r>
      <w:r w:rsidR="004E7698">
        <w:rPr>
          <w:rFonts w:ascii="Arial" w:hAnsi="Arial" w:cs="Arial"/>
          <w:b/>
          <w:bCs/>
          <w:kern w:val="28"/>
          <w:sz w:val="56"/>
          <w:szCs w:val="48"/>
          <w:lang w:val="en-GB"/>
        </w:rPr>
        <w:t>Product Definition</w:t>
      </w:r>
    </w:p>
    <w:p w:rsidR="001D4850" w:rsidRDefault="001D4850" w:rsidP="009F77AC">
      <w:pPr>
        <w:jc w:val="right"/>
        <w:rPr>
          <w:rFonts w:ascii="Arial" w:hAnsi="Arial" w:cs="Arial"/>
          <w:b/>
          <w:bCs/>
          <w:kern w:val="28"/>
          <w:sz w:val="48"/>
          <w:szCs w:val="48"/>
          <w:lang w:val="en-GB"/>
        </w:rPr>
      </w:pP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995433" w:rsidRDefault="00A124BE" w:rsidP="00667C8A">
      <w:pPr>
        <w:tabs>
          <w:tab w:val="left" w:pos="7980"/>
        </w:tabs>
      </w:pPr>
      <w:r>
        <w:tab/>
      </w:r>
    </w:p>
    <w:p w:rsidR="00565621" w:rsidRPr="00F81347" w:rsidRDefault="009F77AC" w:rsidP="008762D5">
      <w:pPr>
        <w:keepNext/>
        <w:keepLines/>
        <w:pageBreakBefore/>
        <w:spacing w:before="240" w:after="240"/>
        <w:jc w:val="left"/>
        <w:rPr>
          <w:rFonts w:ascii="Arial" w:hAnsi="Arial" w:cs="Arial"/>
          <w:b/>
          <w:bCs/>
          <w:caps/>
          <w:sz w:val="36"/>
          <w:szCs w:val="36"/>
        </w:rPr>
      </w:pPr>
      <w:r w:rsidRPr="00F81347">
        <w:rPr>
          <w:rFonts w:ascii="Arial" w:hAnsi="Arial" w:cs="Arial"/>
          <w:b/>
          <w:bCs/>
          <w:caps/>
          <w:sz w:val="36"/>
          <w:szCs w:val="36"/>
        </w:rPr>
        <w:lastRenderedPageBreak/>
        <w:t>Contents</w:t>
      </w:r>
    </w:p>
    <w:p w:rsidR="00E17006"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E17006">
        <w:t>1</w:t>
      </w:r>
      <w:r w:rsidR="00E17006">
        <w:rPr>
          <w:rFonts w:asciiTheme="minorHAnsi" w:eastAsiaTheme="minorEastAsia" w:hAnsiTheme="minorHAnsi" w:cstheme="minorBidi"/>
          <w:sz w:val="22"/>
          <w:szCs w:val="22"/>
        </w:rPr>
        <w:tab/>
      </w:r>
      <w:r w:rsidR="00E17006">
        <w:t>Introduction</w:t>
      </w:r>
      <w:r w:rsidR="00E17006">
        <w:tab/>
      </w:r>
      <w:r w:rsidR="00E17006">
        <w:fldChar w:fldCharType="begin"/>
      </w:r>
      <w:r w:rsidR="00E17006">
        <w:instrText xml:space="preserve"> PAGEREF _Toc442136533 \h </w:instrText>
      </w:r>
      <w:r w:rsidR="00E17006">
        <w:fldChar w:fldCharType="separate"/>
      </w:r>
      <w:r w:rsidR="00E17006">
        <w:t>1</w:t>
      </w:r>
      <w:r w:rsidR="00E17006">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_Toc442136534 \h </w:instrText>
      </w:r>
      <w:r>
        <w:rPr>
          <w:noProof/>
        </w:rPr>
      </w:r>
      <w:r>
        <w:rPr>
          <w:noProof/>
        </w:rPr>
        <w:fldChar w:fldCharType="separate"/>
      </w:r>
      <w:r>
        <w:rPr>
          <w:noProof/>
        </w:rPr>
        <w:t>1</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_Toc442136535 \h </w:instrText>
      </w:r>
      <w:r>
        <w:rPr>
          <w:noProof/>
        </w:rPr>
      </w:r>
      <w:r>
        <w:rPr>
          <w:noProof/>
        </w:rPr>
        <w:fldChar w:fldCharType="separate"/>
      </w:r>
      <w:r>
        <w:rPr>
          <w:noProof/>
        </w:rPr>
        <w:t>1</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_Toc442136536 \h </w:instrText>
      </w:r>
      <w:r>
        <w:rPr>
          <w:noProof/>
        </w:rPr>
      </w:r>
      <w:r>
        <w:rPr>
          <w:noProof/>
        </w:rPr>
        <w:fldChar w:fldCharType="separate"/>
      </w:r>
      <w:r>
        <w:rPr>
          <w:noProof/>
        </w:rPr>
        <w:t>1</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_Toc442136537 \h </w:instrText>
      </w:r>
      <w:r>
        <w:rPr>
          <w:noProof/>
        </w:rPr>
      </w:r>
      <w:r>
        <w:rPr>
          <w:noProof/>
        </w:rPr>
        <w:fldChar w:fldCharType="separate"/>
      </w:r>
      <w:r>
        <w:rPr>
          <w:noProof/>
        </w:rPr>
        <w:t>2</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_Toc442136538 \h </w:instrText>
      </w:r>
      <w:r>
        <w:rPr>
          <w:noProof/>
        </w:rPr>
      </w:r>
      <w:r>
        <w:rPr>
          <w:noProof/>
        </w:rPr>
        <w:fldChar w:fldCharType="separate"/>
      </w:r>
      <w:r>
        <w:rPr>
          <w:noProof/>
        </w:rPr>
        <w:t>3</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_Toc442136539 \h </w:instrText>
      </w:r>
      <w:r>
        <w:rPr>
          <w:noProof/>
        </w:rPr>
      </w:r>
      <w:r>
        <w:rPr>
          <w:noProof/>
        </w:rPr>
        <w:fldChar w:fldCharType="separate"/>
      </w:r>
      <w:r>
        <w:rPr>
          <w:noProof/>
        </w:rPr>
        <w:t>3</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_Toc442136540 \h </w:instrText>
      </w:r>
      <w:r>
        <w:rPr>
          <w:noProof/>
        </w:rPr>
      </w:r>
      <w:r>
        <w:rPr>
          <w:noProof/>
        </w:rPr>
        <w:fldChar w:fldCharType="separate"/>
      </w:r>
      <w:r>
        <w:rPr>
          <w:noProof/>
        </w:rPr>
        <w:t>3</w:t>
      </w:r>
      <w:r>
        <w:rPr>
          <w:noProof/>
        </w:rPr>
        <w:fldChar w:fldCharType="end"/>
      </w:r>
    </w:p>
    <w:p w:rsidR="00E17006" w:rsidRDefault="00E17006">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Product Definition</w:t>
      </w:r>
      <w:r>
        <w:tab/>
      </w:r>
      <w:r>
        <w:fldChar w:fldCharType="begin"/>
      </w:r>
      <w:r>
        <w:instrText xml:space="preserve"> PAGEREF _Toc442136541 \h </w:instrText>
      </w:r>
      <w:r>
        <w:fldChar w:fldCharType="separate"/>
      </w:r>
      <w:r>
        <w:t>4</w:t>
      </w:r>
      <w: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Product Definition Evolution</w:t>
      </w:r>
      <w:r>
        <w:rPr>
          <w:noProof/>
        </w:rPr>
        <w:tab/>
      </w:r>
      <w:r>
        <w:rPr>
          <w:noProof/>
        </w:rPr>
        <w:fldChar w:fldCharType="begin"/>
      </w:r>
      <w:r>
        <w:rPr>
          <w:noProof/>
        </w:rPr>
        <w:instrText xml:space="preserve"> PAGEREF _Toc442136542 \h </w:instrText>
      </w:r>
      <w:r>
        <w:rPr>
          <w:noProof/>
        </w:rPr>
      </w:r>
      <w:r>
        <w:rPr>
          <w:noProof/>
        </w:rPr>
        <w:fldChar w:fldCharType="separate"/>
      </w:r>
      <w:r>
        <w:rPr>
          <w:noProof/>
        </w:rPr>
        <w:t>4</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Offering/Avail</w:t>
      </w:r>
      <w:r>
        <w:rPr>
          <w:noProof/>
        </w:rPr>
        <w:tab/>
      </w:r>
      <w:r>
        <w:rPr>
          <w:noProof/>
        </w:rPr>
        <w:fldChar w:fldCharType="begin"/>
      </w:r>
      <w:r>
        <w:rPr>
          <w:noProof/>
        </w:rPr>
        <w:instrText xml:space="preserve"> PAGEREF _Toc442136543 \h </w:instrText>
      </w:r>
      <w:r>
        <w:rPr>
          <w:noProof/>
        </w:rPr>
      </w:r>
      <w:r>
        <w:rPr>
          <w:noProof/>
        </w:rPr>
        <w:fldChar w:fldCharType="separate"/>
      </w:r>
      <w:r>
        <w:rPr>
          <w:noProof/>
        </w:rPr>
        <w:t>4</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Fulfillment</w:t>
      </w:r>
      <w:r>
        <w:rPr>
          <w:noProof/>
        </w:rPr>
        <w:tab/>
      </w:r>
      <w:r>
        <w:rPr>
          <w:noProof/>
        </w:rPr>
        <w:fldChar w:fldCharType="begin"/>
      </w:r>
      <w:r>
        <w:rPr>
          <w:noProof/>
        </w:rPr>
        <w:instrText xml:space="preserve"> PAGEREF _Toc442136544 \h </w:instrText>
      </w:r>
      <w:r>
        <w:rPr>
          <w:noProof/>
        </w:rPr>
      </w:r>
      <w:r>
        <w:rPr>
          <w:noProof/>
        </w:rPr>
        <w:fldChar w:fldCharType="separate"/>
      </w:r>
      <w:r>
        <w:rPr>
          <w:noProof/>
        </w:rPr>
        <w:t>5</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Structure of Content in Media Manifest</w:t>
      </w:r>
      <w:r>
        <w:rPr>
          <w:noProof/>
        </w:rPr>
        <w:tab/>
      </w:r>
      <w:r>
        <w:rPr>
          <w:noProof/>
        </w:rPr>
        <w:fldChar w:fldCharType="begin"/>
      </w:r>
      <w:r>
        <w:rPr>
          <w:noProof/>
        </w:rPr>
        <w:instrText xml:space="preserve"> PAGEREF _Toc442136545 \h </w:instrText>
      </w:r>
      <w:r>
        <w:rPr>
          <w:noProof/>
        </w:rPr>
      </w:r>
      <w:r>
        <w:rPr>
          <w:noProof/>
        </w:rPr>
        <w:fldChar w:fldCharType="separate"/>
      </w:r>
      <w:r>
        <w:rPr>
          <w:noProof/>
        </w:rPr>
        <w:t>6</w:t>
      </w:r>
      <w:r>
        <w:rPr>
          <w:noProof/>
        </w:rPr>
        <w:fldChar w:fldCharType="end"/>
      </w:r>
    </w:p>
    <w:p w:rsidR="00E17006" w:rsidRDefault="00E17006">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Media Manifest</w:t>
      </w:r>
      <w:r>
        <w:tab/>
      </w:r>
      <w:r>
        <w:fldChar w:fldCharType="begin"/>
      </w:r>
      <w:r>
        <w:instrText xml:space="preserve"> PAGEREF _Toc442136546 \h </w:instrText>
      </w:r>
      <w:r>
        <w:fldChar w:fldCharType="separate"/>
      </w:r>
      <w:r>
        <w:t>7</w:t>
      </w:r>
      <w: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Media Manifest derived types</w:t>
      </w:r>
      <w:r>
        <w:rPr>
          <w:noProof/>
        </w:rPr>
        <w:tab/>
      </w:r>
      <w:r>
        <w:rPr>
          <w:noProof/>
        </w:rPr>
        <w:fldChar w:fldCharType="begin"/>
      </w:r>
      <w:r>
        <w:rPr>
          <w:noProof/>
        </w:rPr>
        <w:instrText xml:space="preserve"> PAGEREF _Toc442136547 \h </w:instrText>
      </w:r>
      <w:r>
        <w:rPr>
          <w:noProof/>
        </w:rPr>
      </w:r>
      <w:r>
        <w:rPr>
          <w:noProof/>
        </w:rPr>
        <w:fldChar w:fldCharType="separate"/>
      </w:r>
      <w:r>
        <w:rPr>
          <w:noProof/>
        </w:rPr>
        <w:t>7</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_Toc442136548 \h </w:instrText>
      </w:r>
      <w:r>
        <w:rPr>
          <w:noProof/>
        </w:rPr>
      </w:r>
      <w:r>
        <w:rPr>
          <w:noProof/>
        </w:rPr>
        <w:fldChar w:fldCharType="separate"/>
      </w:r>
      <w:r>
        <w:rPr>
          <w:noProof/>
        </w:rPr>
        <w:t>8</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Avails ProductID and ALID</w:t>
      </w:r>
      <w:r>
        <w:rPr>
          <w:noProof/>
        </w:rPr>
        <w:tab/>
      </w:r>
      <w:r>
        <w:rPr>
          <w:noProof/>
        </w:rPr>
        <w:fldChar w:fldCharType="begin"/>
      </w:r>
      <w:r>
        <w:rPr>
          <w:noProof/>
        </w:rPr>
        <w:instrText xml:space="preserve"> PAGEREF _Toc442136549 \h </w:instrText>
      </w:r>
      <w:r>
        <w:rPr>
          <w:noProof/>
        </w:rPr>
      </w:r>
      <w:r>
        <w:rPr>
          <w:noProof/>
        </w:rPr>
        <w:fldChar w:fldCharType="separate"/>
      </w:r>
      <w:r>
        <w:rPr>
          <w:noProof/>
        </w:rPr>
        <w:t>8</w:t>
      </w:r>
      <w:r>
        <w:rPr>
          <w:noProof/>
        </w:rPr>
        <w:fldChar w:fldCharType="end"/>
      </w:r>
    </w:p>
    <w:p w:rsidR="00E17006" w:rsidRDefault="00E17006">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Elements of a Product Definition</w:t>
      </w:r>
      <w:r>
        <w:tab/>
      </w:r>
      <w:r>
        <w:fldChar w:fldCharType="begin"/>
      </w:r>
      <w:r>
        <w:instrText xml:space="preserve"> PAGEREF _Toc442136550 \h </w:instrText>
      </w:r>
      <w:r>
        <w:fldChar w:fldCharType="separate"/>
      </w:r>
      <w:r>
        <w:t>10</w:t>
      </w:r>
      <w: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Manifest Definition, Objects other than Inventory</w:t>
      </w:r>
      <w:r>
        <w:rPr>
          <w:noProof/>
        </w:rPr>
        <w:tab/>
      </w:r>
      <w:r>
        <w:rPr>
          <w:noProof/>
        </w:rPr>
        <w:fldChar w:fldCharType="begin"/>
      </w:r>
      <w:r>
        <w:rPr>
          <w:noProof/>
        </w:rPr>
        <w:instrText xml:space="preserve"> PAGEREF _Toc442136551 \h </w:instrText>
      </w:r>
      <w:r>
        <w:rPr>
          <w:noProof/>
        </w:rPr>
      </w:r>
      <w:r>
        <w:rPr>
          <w:noProof/>
        </w:rPr>
        <w:fldChar w:fldCharType="separate"/>
      </w:r>
      <w:r>
        <w:rPr>
          <w:noProof/>
        </w:rPr>
        <w:t>10</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Manifest Definition, Inventory</w:t>
      </w:r>
      <w:r>
        <w:rPr>
          <w:noProof/>
        </w:rPr>
        <w:tab/>
      </w:r>
      <w:r>
        <w:rPr>
          <w:noProof/>
        </w:rPr>
        <w:fldChar w:fldCharType="begin"/>
      </w:r>
      <w:r>
        <w:rPr>
          <w:noProof/>
        </w:rPr>
        <w:instrText xml:space="preserve"> PAGEREF _Toc442136552 \h </w:instrText>
      </w:r>
      <w:r>
        <w:rPr>
          <w:noProof/>
        </w:rPr>
      </w:r>
      <w:r>
        <w:rPr>
          <w:noProof/>
        </w:rPr>
        <w:fldChar w:fldCharType="separate"/>
      </w:r>
      <w:r>
        <w:rPr>
          <w:noProof/>
        </w:rPr>
        <w:t>10</w:t>
      </w:r>
      <w:r>
        <w:rPr>
          <w:noProof/>
        </w:rPr>
        <w:fldChar w:fldCharType="end"/>
      </w:r>
    </w:p>
    <w:p w:rsidR="00E17006" w:rsidRDefault="00E17006">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Mezannine File References</w:t>
      </w:r>
      <w:r>
        <w:tab/>
      </w:r>
      <w:r>
        <w:fldChar w:fldCharType="begin"/>
      </w:r>
      <w:r>
        <w:instrText xml:space="preserve"> PAGEREF _Toc442136553 \h </w:instrText>
      </w:r>
      <w:r>
        <w:fldChar w:fldCharType="separate"/>
      </w:r>
      <w:r>
        <w:t>12</w:t>
      </w:r>
      <w: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Abstract References</w:t>
      </w:r>
      <w:r>
        <w:rPr>
          <w:noProof/>
        </w:rPr>
        <w:tab/>
      </w:r>
      <w:r>
        <w:rPr>
          <w:noProof/>
        </w:rPr>
        <w:fldChar w:fldCharType="begin"/>
      </w:r>
      <w:r>
        <w:rPr>
          <w:noProof/>
        </w:rPr>
        <w:instrText xml:space="preserve"> PAGEREF _Toc442136554 \h </w:instrText>
      </w:r>
      <w:r>
        <w:rPr>
          <w:noProof/>
        </w:rPr>
      </w:r>
      <w:r>
        <w:rPr>
          <w:noProof/>
        </w:rPr>
        <w:fldChar w:fldCharType="separate"/>
      </w:r>
      <w:r>
        <w:rPr>
          <w:noProof/>
        </w:rPr>
        <w:t>12</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Common Metadata Types used for Abstract Reference</w:t>
      </w:r>
      <w:r>
        <w:rPr>
          <w:noProof/>
        </w:rPr>
        <w:tab/>
      </w:r>
      <w:r>
        <w:rPr>
          <w:noProof/>
        </w:rPr>
        <w:fldChar w:fldCharType="begin"/>
      </w:r>
      <w:r>
        <w:rPr>
          <w:noProof/>
        </w:rPr>
        <w:instrText xml:space="preserve"> PAGEREF _Toc442136555 \h </w:instrText>
      </w:r>
      <w:r>
        <w:rPr>
          <w:noProof/>
        </w:rPr>
      </w:r>
      <w:r>
        <w:rPr>
          <w:noProof/>
        </w:rPr>
        <w:fldChar w:fldCharType="separate"/>
      </w:r>
      <w:r>
        <w:rPr>
          <w:noProof/>
        </w:rPr>
        <w:t>12</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Video Reference</w:t>
      </w:r>
      <w:r>
        <w:rPr>
          <w:noProof/>
        </w:rPr>
        <w:tab/>
      </w:r>
      <w:r>
        <w:rPr>
          <w:noProof/>
        </w:rPr>
        <w:fldChar w:fldCharType="begin"/>
      </w:r>
      <w:r>
        <w:rPr>
          <w:noProof/>
        </w:rPr>
        <w:instrText xml:space="preserve"> PAGEREF _Toc442136556 \h </w:instrText>
      </w:r>
      <w:r>
        <w:rPr>
          <w:noProof/>
        </w:rPr>
      </w:r>
      <w:r>
        <w:rPr>
          <w:noProof/>
        </w:rPr>
        <w:fldChar w:fldCharType="separate"/>
      </w:r>
      <w:r>
        <w:rPr>
          <w:noProof/>
        </w:rPr>
        <w:t>13</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Audio Reference</w:t>
      </w:r>
      <w:r>
        <w:rPr>
          <w:noProof/>
        </w:rPr>
        <w:tab/>
      </w:r>
      <w:r>
        <w:rPr>
          <w:noProof/>
        </w:rPr>
        <w:fldChar w:fldCharType="begin"/>
      </w:r>
      <w:r>
        <w:rPr>
          <w:noProof/>
        </w:rPr>
        <w:instrText xml:space="preserve"> PAGEREF _Toc442136557 \h </w:instrText>
      </w:r>
      <w:r>
        <w:rPr>
          <w:noProof/>
        </w:rPr>
      </w:r>
      <w:r>
        <w:rPr>
          <w:noProof/>
        </w:rPr>
        <w:fldChar w:fldCharType="separate"/>
      </w:r>
      <w:r>
        <w:rPr>
          <w:noProof/>
        </w:rPr>
        <w:t>13</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5.1.4</w:t>
      </w:r>
      <w:r>
        <w:rPr>
          <w:rFonts w:asciiTheme="minorHAnsi" w:eastAsiaTheme="minorEastAsia" w:hAnsiTheme="minorHAnsi" w:cstheme="minorBidi"/>
          <w:noProof/>
          <w:sz w:val="22"/>
          <w:szCs w:val="22"/>
        </w:rPr>
        <w:tab/>
      </w:r>
      <w:r>
        <w:rPr>
          <w:noProof/>
        </w:rPr>
        <w:t>Subtitle Reference</w:t>
      </w:r>
      <w:r>
        <w:rPr>
          <w:noProof/>
        </w:rPr>
        <w:tab/>
      </w:r>
      <w:r>
        <w:rPr>
          <w:noProof/>
        </w:rPr>
        <w:fldChar w:fldCharType="begin"/>
      </w:r>
      <w:r>
        <w:rPr>
          <w:noProof/>
        </w:rPr>
        <w:instrText xml:space="preserve"> PAGEREF _Toc442136558 \h </w:instrText>
      </w:r>
      <w:r>
        <w:rPr>
          <w:noProof/>
        </w:rPr>
      </w:r>
      <w:r>
        <w:rPr>
          <w:noProof/>
        </w:rPr>
        <w:fldChar w:fldCharType="separate"/>
      </w:r>
      <w:r>
        <w:rPr>
          <w:noProof/>
        </w:rPr>
        <w:t>13</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5.1.5</w:t>
      </w:r>
      <w:r>
        <w:rPr>
          <w:rFonts w:asciiTheme="minorHAnsi" w:eastAsiaTheme="minorEastAsia" w:hAnsiTheme="minorHAnsi" w:cstheme="minorBidi"/>
          <w:noProof/>
          <w:sz w:val="22"/>
          <w:szCs w:val="22"/>
        </w:rPr>
        <w:tab/>
      </w:r>
      <w:r>
        <w:rPr>
          <w:noProof/>
        </w:rPr>
        <w:t>Image Reference</w:t>
      </w:r>
      <w:r>
        <w:rPr>
          <w:noProof/>
        </w:rPr>
        <w:tab/>
      </w:r>
      <w:r>
        <w:rPr>
          <w:noProof/>
        </w:rPr>
        <w:fldChar w:fldCharType="begin"/>
      </w:r>
      <w:r>
        <w:rPr>
          <w:noProof/>
        </w:rPr>
        <w:instrText xml:space="preserve"> PAGEREF _Toc442136559 \h </w:instrText>
      </w:r>
      <w:r>
        <w:rPr>
          <w:noProof/>
        </w:rPr>
      </w:r>
      <w:r>
        <w:rPr>
          <w:noProof/>
        </w:rPr>
        <w:fldChar w:fldCharType="separate"/>
      </w:r>
      <w:r>
        <w:rPr>
          <w:noProof/>
        </w:rPr>
        <w:t>13</w:t>
      </w:r>
      <w:r>
        <w:rPr>
          <w:noProof/>
        </w:rPr>
        <w:fldChar w:fldCharType="end"/>
      </w:r>
    </w:p>
    <w:p w:rsidR="00E17006" w:rsidRDefault="00E17006">
      <w:pPr>
        <w:pStyle w:val="TOC2"/>
        <w:tabs>
          <w:tab w:val="left" w:pos="9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IMF Reference</w:t>
      </w:r>
      <w:r>
        <w:rPr>
          <w:noProof/>
        </w:rPr>
        <w:tab/>
      </w:r>
      <w:r>
        <w:rPr>
          <w:noProof/>
        </w:rPr>
        <w:fldChar w:fldCharType="begin"/>
      </w:r>
      <w:r>
        <w:rPr>
          <w:noProof/>
        </w:rPr>
        <w:instrText xml:space="preserve"> PAGEREF _Toc442136560 \h </w:instrText>
      </w:r>
      <w:r>
        <w:rPr>
          <w:noProof/>
        </w:rPr>
      </w:r>
      <w:r>
        <w:rPr>
          <w:noProof/>
        </w:rPr>
        <w:fldChar w:fldCharType="separate"/>
      </w:r>
      <w:r>
        <w:rPr>
          <w:noProof/>
        </w:rPr>
        <w:t>13</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Referencing IMF CPL Virtual Tracks</w:t>
      </w:r>
      <w:r>
        <w:rPr>
          <w:noProof/>
        </w:rPr>
        <w:tab/>
      </w:r>
      <w:r>
        <w:rPr>
          <w:noProof/>
        </w:rPr>
        <w:fldChar w:fldCharType="begin"/>
      </w:r>
      <w:r>
        <w:rPr>
          <w:noProof/>
        </w:rPr>
        <w:instrText xml:space="preserve"> PAGEREF _Toc442136561 \h </w:instrText>
      </w:r>
      <w:r>
        <w:rPr>
          <w:noProof/>
        </w:rPr>
      </w:r>
      <w:r>
        <w:rPr>
          <w:noProof/>
        </w:rPr>
        <w:fldChar w:fldCharType="separate"/>
      </w:r>
      <w:r>
        <w:rPr>
          <w:noProof/>
        </w:rPr>
        <w:t>14</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Referencing OPL Macro Outputs</w:t>
      </w:r>
      <w:r>
        <w:rPr>
          <w:noProof/>
        </w:rPr>
        <w:tab/>
      </w:r>
      <w:r>
        <w:rPr>
          <w:noProof/>
        </w:rPr>
        <w:fldChar w:fldCharType="begin"/>
      </w:r>
      <w:r>
        <w:rPr>
          <w:noProof/>
        </w:rPr>
        <w:instrText xml:space="preserve"> PAGEREF _Toc442136562 \h </w:instrText>
      </w:r>
      <w:r>
        <w:rPr>
          <w:noProof/>
        </w:rPr>
      </w:r>
      <w:r>
        <w:rPr>
          <w:noProof/>
        </w:rPr>
        <w:fldChar w:fldCharType="separate"/>
      </w:r>
      <w:r>
        <w:rPr>
          <w:noProof/>
        </w:rPr>
        <w:t>15</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Referencing an IMF Container</w:t>
      </w:r>
      <w:r>
        <w:rPr>
          <w:noProof/>
        </w:rPr>
        <w:tab/>
      </w:r>
      <w:r>
        <w:rPr>
          <w:noProof/>
        </w:rPr>
        <w:fldChar w:fldCharType="begin"/>
      </w:r>
      <w:r>
        <w:rPr>
          <w:noProof/>
        </w:rPr>
        <w:instrText xml:space="preserve"> PAGEREF _Toc442136563 \h </w:instrText>
      </w:r>
      <w:r>
        <w:rPr>
          <w:noProof/>
        </w:rPr>
      </w:r>
      <w:r>
        <w:rPr>
          <w:noProof/>
        </w:rPr>
        <w:fldChar w:fldCharType="separate"/>
      </w:r>
      <w:r>
        <w:rPr>
          <w:noProof/>
        </w:rPr>
        <w:t>16</w:t>
      </w:r>
      <w:r>
        <w:rPr>
          <w:noProof/>
        </w:rPr>
        <w:fldChar w:fldCharType="end"/>
      </w:r>
    </w:p>
    <w:p w:rsidR="00E17006" w:rsidRDefault="00E17006">
      <w:pPr>
        <w:pStyle w:val="TOC3"/>
        <w:tabs>
          <w:tab w:val="left" w:pos="144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IMF Mapped File Set</w:t>
      </w:r>
      <w:r>
        <w:rPr>
          <w:noProof/>
        </w:rPr>
        <w:tab/>
      </w:r>
      <w:r>
        <w:rPr>
          <w:noProof/>
        </w:rPr>
        <w:fldChar w:fldCharType="begin"/>
      </w:r>
      <w:r>
        <w:rPr>
          <w:noProof/>
        </w:rPr>
        <w:instrText xml:space="preserve"> PAGEREF _Toc442136564 \h </w:instrText>
      </w:r>
      <w:r>
        <w:rPr>
          <w:noProof/>
        </w:rPr>
      </w:r>
      <w:r>
        <w:rPr>
          <w:noProof/>
        </w:rPr>
        <w:fldChar w:fldCharType="separate"/>
      </w:r>
      <w:r>
        <w:rPr>
          <w:noProof/>
        </w:rPr>
        <w:t>16</w:t>
      </w:r>
      <w:r>
        <w:rPr>
          <w:noProof/>
        </w:rPr>
        <w:fldChar w:fldCharType="end"/>
      </w:r>
    </w:p>
    <w:p w:rsidR="009F77AC" w:rsidRDefault="00B87BB6" w:rsidP="009F77AC">
      <w:pPr>
        <w:pStyle w:val="Footer"/>
      </w:pPr>
      <w:r>
        <w:fldChar w:fldCharType="end"/>
      </w:r>
    </w:p>
    <w:p w:rsidR="003E01CA" w:rsidRPr="00066146" w:rsidRDefault="003E01CA" w:rsidP="008762D5">
      <w:pPr>
        <w:pStyle w:val="PlainText"/>
        <w:spacing w:before="120" w:after="0" w:line="240" w:lineRule="auto"/>
        <w:rPr>
          <w:rFonts w:ascii="Times New Roman" w:hAnsi="Times New Roman"/>
          <w:sz w:val="22"/>
          <w:szCs w:val="24"/>
        </w:rPr>
      </w:pPr>
      <w:r w:rsidRPr="00066146">
        <w:rPr>
          <w:rFonts w:ascii="Times New Roman" w:hAnsi="Times New Roman"/>
          <w:b/>
          <w:bCs/>
          <w:sz w:val="22"/>
          <w:szCs w:val="24"/>
        </w:rPr>
        <w:t>NOTE</w:t>
      </w:r>
      <w:r w:rsidRPr="00066146">
        <w:rPr>
          <w:rFonts w:ascii="Times New Roman" w:hAnsi="Times New Roman"/>
          <w:sz w:val="22"/>
          <w:szCs w:val="24"/>
        </w:rPr>
        <w:t xml:space="preserve">: No effort is being made by EMA, the EMA Digital Council or Motion Picture Laboratories to in any way obligate any market participant to adhere to the </w:t>
      </w:r>
      <w:r w:rsidR="005D19F2" w:rsidRPr="00066146">
        <w:rPr>
          <w:rFonts w:ascii="Times New Roman" w:hAnsi="Times New Roman"/>
          <w:sz w:val="22"/>
          <w:szCs w:val="24"/>
        </w:rPr>
        <w:t xml:space="preserve">Common Metadata, </w:t>
      </w:r>
      <w:r w:rsidRPr="00066146">
        <w:rPr>
          <w:rFonts w:ascii="Times New Roman" w:hAnsi="Times New Roman"/>
          <w:sz w:val="22"/>
          <w:szCs w:val="24"/>
        </w:rPr>
        <w:t xml:space="preserve">Common </w:t>
      </w:r>
      <w:r w:rsidR="005D19F2" w:rsidRPr="00066146">
        <w:rPr>
          <w:rFonts w:ascii="Times New Roman" w:hAnsi="Times New Roman"/>
          <w:sz w:val="22"/>
          <w:szCs w:val="24"/>
        </w:rPr>
        <w:t xml:space="preserve">Media Manifest </w:t>
      </w:r>
      <w:r w:rsidRPr="00066146">
        <w:rPr>
          <w:rFonts w:ascii="Times New Roman" w:hAnsi="Times New Roman"/>
          <w:sz w:val="22"/>
          <w:szCs w:val="24"/>
        </w:rPr>
        <w:t xml:space="preserve">Metadata or </w:t>
      </w:r>
      <w:r w:rsidR="005D19F2" w:rsidRPr="00066146">
        <w:rPr>
          <w:rFonts w:ascii="Times New Roman" w:hAnsi="Times New Roman"/>
          <w:sz w:val="22"/>
          <w:szCs w:val="24"/>
        </w:rPr>
        <w:t>Media Entertainment Core, or other specifications</w:t>
      </w:r>
      <w:r w:rsidRPr="00066146">
        <w:rPr>
          <w:rFonts w:ascii="Times New Roman" w:hAnsi="Times New Roman"/>
          <w:sz w:val="22"/>
          <w:szCs w:val="24"/>
        </w:rPr>
        <w:t xml:space="preserve">. Whether to adopt the </w:t>
      </w:r>
      <w:r w:rsidR="005D19F2" w:rsidRPr="00066146">
        <w:rPr>
          <w:rFonts w:ascii="Times New Roman" w:hAnsi="Times New Roman"/>
          <w:sz w:val="22"/>
          <w:szCs w:val="24"/>
        </w:rPr>
        <w:t>specifications</w:t>
      </w:r>
      <w:r w:rsidRPr="00066146">
        <w:rPr>
          <w:rFonts w:ascii="Times New Roman" w:hAnsi="Times New Roman"/>
          <w:sz w:val="22"/>
          <w:szCs w:val="24"/>
        </w:rPr>
        <w:t xml:space="preserve"> in whole or in part is left entirely to the individual discretion of individual market participants, using their own independent business judgment. Moreover, the EMA</w:t>
      </w:r>
      <w:r w:rsidR="005D19F2" w:rsidRPr="00066146">
        <w:rPr>
          <w:rFonts w:ascii="Times New Roman" w:hAnsi="Times New Roman"/>
          <w:sz w:val="22"/>
          <w:szCs w:val="24"/>
        </w:rPr>
        <w:t>, the EMA Digital Council,</w:t>
      </w:r>
      <w:r w:rsidRPr="00066146">
        <w:rPr>
          <w:rFonts w:ascii="Times New Roman" w:hAnsi="Times New Roman"/>
          <w:sz w:val="22"/>
          <w:szCs w:val="24"/>
        </w:rPr>
        <w:t xml:space="preserve"> and Motion Picture Laboratories each disclaim any warranty or representation as to the suitability of the </w:t>
      </w:r>
      <w:r w:rsidR="005D19F2" w:rsidRPr="00066146">
        <w:rPr>
          <w:rFonts w:ascii="Times New Roman" w:hAnsi="Times New Roman"/>
          <w:sz w:val="22"/>
          <w:szCs w:val="24"/>
        </w:rPr>
        <w:t>these specifications</w:t>
      </w:r>
      <w:r w:rsidRPr="00066146">
        <w:rPr>
          <w:rFonts w:ascii="Times New Roman" w:hAnsi="Times New Roman"/>
          <w:sz w:val="22"/>
          <w:szCs w:val="24"/>
        </w:rPr>
        <w:t xml:space="preserve"> for any purpose, an</w:t>
      </w:r>
      <w:r w:rsidR="002C7DE6" w:rsidRPr="00066146">
        <w:rPr>
          <w:rFonts w:ascii="Times New Roman" w:hAnsi="Times New Roman"/>
          <w:sz w:val="22"/>
          <w:szCs w:val="24"/>
        </w:rPr>
        <w:t>d</w:t>
      </w:r>
      <w:r w:rsidRPr="00066146">
        <w:rPr>
          <w:rFonts w:ascii="Times New Roman" w:hAnsi="Times New Roman"/>
          <w:sz w:val="22"/>
          <w:szCs w:val="24"/>
        </w:rPr>
        <w:t xml:space="preserve"> any liability for any damages or other harm you may incur as a result of subscribing to </w:t>
      </w:r>
      <w:r w:rsidR="005D19F2" w:rsidRPr="00066146">
        <w:rPr>
          <w:rFonts w:ascii="Times New Roman" w:hAnsi="Times New Roman"/>
          <w:sz w:val="22"/>
          <w:szCs w:val="24"/>
        </w:rPr>
        <w:t>these specification</w:t>
      </w:r>
      <w:r w:rsidRPr="00066146">
        <w:rPr>
          <w:rFonts w:ascii="Times New Roman" w:hAnsi="Times New Roman"/>
          <w:sz w:val="22"/>
          <w:szCs w:val="24"/>
        </w:rPr>
        <w:t>.</w:t>
      </w:r>
    </w:p>
    <w:p w:rsidR="00E35884" w:rsidRPr="00E35884" w:rsidRDefault="00E35884" w:rsidP="00E35884">
      <w:pPr>
        <w:jc w:val="left"/>
      </w:pPr>
      <w:r>
        <w:br w:type="page"/>
      </w:r>
      <w:r w:rsidRPr="005C6E1B">
        <w:rPr>
          <w:rFonts w:ascii="Arial" w:hAnsi="Arial" w:cs="Arial"/>
          <w:b/>
          <w:bCs/>
          <w:caps/>
          <w:sz w:val="36"/>
          <w:szCs w:val="36"/>
        </w:rPr>
        <w:lastRenderedPageBreak/>
        <w:t>Revision History</w:t>
      </w:r>
    </w:p>
    <w:p w:rsidR="00E35884" w:rsidRDefault="00E35884" w:rsidP="00E35884">
      <w:pPr>
        <w:jc w:val="left"/>
      </w:pPr>
    </w:p>
    <w:p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rsidTr="00A50AF8">
        <w:tc>
          <w:tcPr>
            <w:tcW w:w="1278" w:type="dxa"/>
          </w:tcPr>
          <w:p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rsidTr="00A50AF8">
        <w:tc>
          <w:tcPr>
            <w:tcW w:w="1278" w:type="dxa"/>
          </w:tcPr>
          <w:p w:rsidR="00E35884" w:rsidRPr="007D249A" w:rsidRDefault="009366DF" w:rsidP="00A50AF8">
            <w:pPr>
              <w:jc w:val="left"/>
              <w:rPr>
                <w:rFonts w:ascii="Calibri" w:hAnsi="Calibri"/>
                <w:sz w:val="22"/>
                <w:szCs w:val="20"/>
              </w:rPr>
            </w:pPr>
            <w:r>
              <w:rPr>
                <w:rFonts w:ascii="Calibri" w:hAnsi="Calibri"/>
                <w:sz w:val="22"/>
                <w:szCs w:val="20"/>
              </w:rPr>
              <w:t>1.0</w:t>
            </w:r>
          </w:p>
        </w:tc>
        <w:tc>
          <w:tcPr>
            <w:tcW w:w="2077" w:type="dxa"/>
          </w:tcPr>
          <w:p w:rsidR="00E35884" w:rsidRPr="007D249A" w:rsidRDefault="00E35884" w:rsidP="00A50AF8">
            <w:pPr>
              <w:jc w:val="left"/>
              <w:rPr>
                <w:rFonts w:ascii="Calibri" w:hAnsi="Calibri"/>
                <w:sz w:val="22"/>
                <w:szCs w:val="20"/>
              </w:rPr>
            </w:pPr>
          </w:p>
        </w:tc>
        <w:tc>
          <w:tcPr>
            <w:tcW w:w="5490" w:type="dxa"/>
          </w:tcPr>
          <w:p w:rsidR="00E35884" w:rsidRPr="007D249A" w:rsidRDefault="009366DF" w:rsidP="001D4850">
            <w:pPr>
              <w:jc w:val="left"/>
              <w:rPr>
                <w:rFonts w:ascii="Calibri" w:hAnsi="Calibri"/>
                <w:sz w:val="22"/>
                <w:szCs w:val="20"/>
              </w:rPr>
            </w:pPr>
            <w:r>
              <w:rPr>
                <w:rFonts w:ascii="Calibri" w:hAnsi="Calibri"/>
                <w:sz w:val="22"/>
                <w:szCs w:val="20"/>
              </w:rPr>
              <w:t>First Release</w:t>
            </w:r>
          </w:p>
        </w:tc>
      </w:tr>
    </w:tbl>
    <w:p w:rsidR="003E01CA" w:rsidRPr="001816E4" w:rsidRDefault="003E01CA" w:rsidP="009F77AC">
      <w:pPr>
        <w:pStyle w:val="Footer"/>
        <w:sectPr w:rsidR="003E01CA" w:rsidRPr="001816E4"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rsidR="00E87D1B" w:rsidRDefault="00A02FCD" w:rsidP="00066146">
      <w:pPr>
        <w:pStyle w:val="Heading1"/>
        <w:spacing w:before="0"/>
      </w:pPr>
      <w:bookmarkStart w:id="1" w:name="_Ref224124414"/>
      <w:bookmarkStart w:id="2" w:name="_Ref224530607"/>
      <w:bookmarkStart w:id="3" w:name="_Toc442136533"/>
      <w:r>
        <w:lastRenderedPageBreak/>
        <w:t>Introduction</w:t>
      </w:r>
      <w:bookmarkEnd w:id="3"/>
    </w:p>
    <w:p w:rsidR="009978D9" w:rsidRDefault="009366DF" w:rsidP="002C4514">
      <w:pPr>
        <w:pStyle w:val="Body"/>
      </w:pPr>
      <w:r>
        <w:t>MovieLabs</w:t>
      </w:r>
      <w:r w:rsidR="002C4514">
        <w:t xml:space="preserve"> </w:t>
      </w:r>
      <w:r w:rsidR="00B34E1E">
        <w:t>has</w:t>
      </w:r>
      <w:r w:rsidR="002C4514">
        <w:t xml:space="preserve"> defined </w:t>
      </w:r>
      <w:r>
        <w:t xml:space="preserve">a subset of MovieLabs’ Media Manifest for use in </w:t>
      </w:r>
      <w:r w:rsidR="004E7698">
        <w:t>Product Definition</w:t>
      </w:r>
      <w:r>
        <w:t xml:space="preserve">.  </w:t>
      </w:r>
      <w:r w:rsidR="004E7698">
        <w:t xml:space="preserve"> This product definition is independent of the media encoding, allowing the definition to exist independent of any particular encodi</w:t>
      </w:r>
      <w:r w:rsidR="00B34E1E">
        <w:t>ng.</w:t>
      </w:r>
    </w:p>
    <w:p w:rsidR="009366DF" w:rsidRDefault="009978D9" w:rsidP="002C4514">
      <w:pPr>
        <w:pStyle w:val="Body"/>
      </w:pPr>
      <w:r>
        <w:t>The Manifest</w:t>
      </w:r>
      <w:r w:rsidR="004E7698">
        <w:t xml:space="preserve"> Product Definition</w:t>
      </w:r>
      <w:r>
        <w:t xml:space="preserve"> is part of an overall delivery workflow that is supported by complementary specifications that can optionally be used in conjunction with this specification.</w:t>
      </w:r>
      <w:r w:rsidR="00B34E1E">
        <w:t xml:space="preserve">  Although independent of mezzanine format, specific instructions are provided for use of Interoperable Master Format (IMF, SMPTE ST-2067).</w:t>
      </w:r>
    </w:p>
    <w:p w:rsidR="00425922" w:rsidRDefault="004E7698" w:rsidP="002C4514">
      <w:pPr>
        <w:pStyle w:val="Body"/>
      </w:pPr>
      <w:r>
        <w:object w:dxaOrig="5055" w:dyaOrig="2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9pt;height:163pt" o:ole="">
            <v:imagedata r:id="rId10" o:title=""/>
          </v:shape>
          <o:OLEObject Type="Embed" ProgID="Visio.Drawing.11" ShapeID="_x0000_i1025" DrawAspect="Content" ObjectID="_1515878374" r:id="rId11"/>
        </w:object>
      </w:r>
    </w:p>
    <w:p w:rsidR="009366DF" w:rsidRPr="00D91AF4" w:rsidRDefault="009366DF" w:rsidP="009366DF">
      <w:pPr>
        <w:pStyle w:val="Body"/>
      </w:pPr>
      <w:r>
        <w:t xml:space="preserve">The </w:t>
      </w:r>
      <w:r w:rsidR="001669F9">
        <w:t xml:space="preserve">specification and best practices for </w:t>
      </w:r>
      <w:r>
        <w:t xml:space="preserve">the </w:t>
      </w:r>
      <w:r w:rsidR="001669F9">
        <w:t xml:space="preserve">Media Manifest can be found at </w:t>
      </w:r>
      <w:hyperlink r:id="rId12" w:history="1">
        <w:r w:rsidR="001669F9" w:rsidRPr="00F60058">
          <w:rPr>
            <w:rStyle w:val="Hyperlink"/>
            <w:rFonts w:ascii="Times New Roman" w:hAnsi="Times New Roman" w:cs="Times New Roman"/>
            <w:sz w:val="24"/>
            <w:szCs w:val="24"/>
          </w:rPr>
          <w:t>www.movielabs.com/md/manifest</w:t>
        </w:r>
      </w:hyperlink>
      <w:r w:rsidR="001669F9">
        <w:t>.  The full specification supports more complex delivery use cases, interactivity and other applications.</w:t>
      </w:r>
    </w:p>
    <w:p w:rsidR="00E87D1B" w:rsidRDefault="00E87D1B" w:rsidP="00C13FCE">
      <w:pPr>
        <w:pStyle w:val="Heading2"/>
      </w:pPr>
      <w:bookmarkStart w:id="4" w:name="_Toc241389372"/>
      <w:bookmarkStart w:id="5" w:name="_Toc241389373"/>
      <w:bookmarkStart w:id="6" w:name="_Toc241389374"/>
      <w:bookmarkStart w:id="7" w:name="_Toc241389375"/>
      <w:bookmarkStart w:id="8" w:name="_Toc241389376"/>
      <w:bookmarkStart w:id="9" w:name="_Toc241389377"/>
      <w:bookmarkStart w:id="10" w:name="_Toc241389378"/>
      <w:bookmarkStart w:id="11" w:name="_Toc241389379"/>
      <w:bookmarkStart w:id="12" w:name="_Toc241389380"/>
      <w:bookmarkStart w:id="13" w:name="_Toc241389381"/>
      <w:bookmarkStart w:id="14" w:name="_Toc236406159"/>
      <w:bookmarkStart w:id="15" w:name="_Toc442136534"/>
      <w:bookmarkEnd w:id="4"/>
      <w:bookmarkEnd w:id="5"/>
      <w:bookmarkEnd w:id="6"/>
      <w:bookmarkEnd w:id="7"/>
      <w:bookmarkEnd w:id="8"/>
      <w:bookmarkEnd w:id="9"/>
      <w:bookmarkEnd w:id="10"/>
      <w:bookmarkEnd w:id="11"/>
      <w:bookmarkEnd w:id="12"/>
      <w:bookmarkEnd w:id="13"/>
      <w:r>
        <w:t>Document Organization</w:t>
      </w:r>
      <w:bookmarkEnd w:id="14"/>
      <w:bookmarkEnd w:id="15"/>
    </w:p>
    <w:p w:rsidR="00E87D1B" w:rsidRDefault="00D53522" w:rsidP="00D53522">
      <w:pPr>
        <w:pStyle w:val="Body"/>
      </w:pPr>
      <w:r>
        <w:t>This document is organized as follows:</w:t>
      </w:r>
    </w:p>
    <w:p w:rsidR="00D53522" w:rsidRDefault="00D53522" w:rsidP="001813DA">
      <w:pPr>
        <w:pStyle w:val="Body"/>
        <w:numPr>
          <w:ilvl w:val="0"/>
          <w:numId w:val="4"/>
        </w:numPr>
      </w:pPr>
      <w:r>
        <w:t>Introduction—</w:t>
      </w:r>
      <w:r w:rsidR="00667C8A">
        <w:t>B</w:t>
      </w:r>
      <w:r>
        <w:t>ackground, scope and conventions</w:t>
      </w:r>
    </w:p>
    <w:p w:rsidR="001C5320" w:rsidRPr="004E7698" w:rsidRDefault="004E7698" w:rsidP="001813DA">
      <w:pPr>
        <w:pStyle w:val="Body"/>
        <w:numPr>
          <w:ilvl w:val="0"/>
          <w:numId w:val="4"/>
        </w:numPr>
        <w:rPr>
          <w:highlight w:val="yellow"/>
        </w:rPr>
      </w:pPr>
      <w:r w:rsidRPr="004E7698">
        <w:rPr>
          <w:highlight w:val="yellow"/>
        </w:rPr>
        <w:t>TBD</w:t>
      </w:r>
    </w:p>
    <w:p w:rsidR="00E87D1B" w:rsidRDefault="00E87D1B" w:rsidP="00C13FCE">
      <w:pPr>
        <w:pStyle w:val="Heading2"/>
      </w:pPr>
      <w:bookmarkStart w:id="16" w:name="_Toc236406160"/>
      <w:bookmarkStart w:id="17" w:name="_Toc442136535"/>
      <w:r>
        <w:t>Document Notation and Conventions</w:t>
      </w:r>
      <w:bookmarkEnd w:id="16"/>
      <w:bookmarkEnd w:id="17"/>
    </w:p>
    <w:p w:rsidR="009A08C4" w:rsidRPr="009A08C4" w:rsidRDefault="009A08C4" w:rsidP="009A08C4">
      <w:pPr>
        <w:pStyle w:val="Body"/>
      </w:pPr>
      <w:r>
        <w:t>The document uses the conventions of Common Metadata</w:t>
      </w:r>
      <w:r w:rsidR="00667C8A">
        <w:t xml:space="preserve"> [CM]</w:t>
      </w:r>
      <w:r>
        <w:t>.</w:t>
      </w:r>
    </w:p>
    <w:p w:rsidR="00E46847" w:rsidRDefault="00E46847" w:rsidP="00E46847">
      <w:pPr>
        <w:pStyle w:val="Heading2"/>
        <w:tabs>
          <w:tab w:val="clear" w:pos="720"/>
          <w:tab w:val="num" w:pos="576"/>
        </w:tabs>
        <w:spacing w:before="360" w:after="200"/>
        <w:ind w:left="576" w:hanging="576"/>
      </w:pPr>
      <w:bookmarkStart w:id="18" w:name="_Toc247703963"/>
      <w:bookmarkStart w:id="19" w:name="_Toc247703964"/>
      <w:bookmarkStart w:id="20" w:name="_Toc247703965"/>
      <w:bookmarkStart w:id="21" w:name="_Toc247703966"/>
      <w:bookmarkStart w:id="22" w:name="_Toc247703967"/>
      <w:bookmarkStart w:id="23" w:name="_Toc247703968"/>
      <w:bookmarkStart w:id="24" w:name="_Toc247703969"/>
      <w:bookmarkStart w:id="25" w:name="_Toc247703970"/>
      <w:bookmarkStart w:id="26" w:name="_Toc233133758"/>
      <w:bookmarkStart w:id="27" w:name="_Toc247703973"/>
      <w:bookmarkStart w:id="28" w:name="_Toc236406163"/>
      <w:bookmarkStart w:id="29" w:name="_Toc303002227"/>
      <w:bookmarkStart w:id="30" w:name="_Toc442136536"/>
      <w:bookmarkEnd w:id="18"/>
      <w:bookmarkEnd w:id="19"/>
      <w:bookmarkEnd w:id="20"/>
      <w:bookmarkEnd w:id="21"/>
      <w:bookmarkEnd w:id="22"/>
      <w:bookmarkEnd w:id="23"/>
      <w:bookmarkEnd w:id="24"/>
      <w:bookmarkEnd w:id="25"/>
      <w:bookmarkEnd w:id="26"/>
      <w:bookmarkEnd w:id="27"/>
      <w:r>
        <w:t>Normative References</w:t>
      </w:r>
      <w:bookmarkEnd w:id="28"/>
      <w:bookmarkEnd w:id="29"/>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1F1FD4" w:rsidTr="00846AFA">
        <w:tc>
          <w:tcPr>
            <w:tcW w:w="1890" w:type="dxa"/>
          </w:tcPr>
          <w:p w:rsidR="001F1FD4" w:rsidRDefault="001F1FD4" w:rsidP="001F1FD4">
            <w:pPr>
              <w:pStyle w:val="Body"/>
              <w:ind w:firstLine="0"/>
            </w:pPr>
            <w:r>
              <w:t>[Manifest]</w:t>
            </w:r>
          </w:p>
        </w:tc>
        <w:tc>
          <w:tcPr>
            <w:tcW w:w="7460" w:type="dxa"/>
          </w:tcPr>
          <w:p w:rsidR="001F1FD4" w:rsidRDefault="001F1FD4" w:rsidP="001F1FD4">
            <w:pPr>
              <w:pStyle w:val="Body"/>
              <w:ind w:firstLine="0"/>
            </w:pPr>
            <w:r>
              <w:t xml:space="preserve">TR-META-MMM MovieLabs Media Manifest Metadata, v1.5, </w:t>
            </w:r>
            <w:hyperlink r:id="rId13" w:history="1">
              <w:r w:rsidRPr="00F60058">
                <w:rPr>
                  <w:rStyle w:val="Hyperlink"/>
                  <w:rFonts w:ascii="Times New Roman" w:hAnsi="Times New Roman" w:cs="Times New Roman"/>
                  <w:sz w:val="24"/>
                  <w:szCs w:val="24"/>
                </w:rPr>
                <w:t>http://www.movielabs.com/md/manifest</w:t>
              </w:r>
            </w:hyperlink>
          </w:p>
        </w:tc>
      </w:tr>
      <w:tr w:rsidR="001F1FD4" w:rsidTr="00846AFA">
        <w:tc>
          <w:tcPr>
            <w:tcW w:w="1890" w:type="dxa"/>
          </w:tcPr>
          <w:p w:rsidR="001F1FD4" w:rsidRDefault="001F1FD4" w:rsidP="001F1FD4">
            <w:pPr>
              <w:pStyle w:val="Body"/>
              <w:ind w:firstLine="0"/>
            </w:pPr>
            <w:r>
              <w:t>[CM]</w:t>
            </w:r>
          </w:p>
        </w:tc>
        <w:tc>
          <w:tcPr>
            <w:tcW w:w="7460" w:type="dxa"/>
          </w:tcPr>
          <w:p w:rsidR="001F1FD4" w:rsidRDefault="001F1FD4" w:rsidP="001F1FD4">
            <w:pPr>
              <w:pStyle w:val="Body"/>
              <w:ind w:firstLine="0"/>
            </w:pPr>
            <w:r>
              <w:t xml:space="preserve">TR-META-CM MovieLabs Common Metadata, v2.3, </w:t>
            </w:r>
            <w:hyperlink r:id="rId14" w:history="1">
              <w:r w:rsidRPr="008202EC">
                <w:rPr>
                  <w:rStyle w:val="Hyperlink"/>
                  <w:rFonts w:ascii="Times New Roman" w:hAnsi="Times New Roman" w:cs="Times New Roman"/>
                  <w:sz w:val="24"/>
                  <w:szCs w:val="24"/>
                </w:rPr>
                <w:t>http://www.movielabs.com/md</w:t>
              </w:r>
            </w:hyperlink>
            <w:r>
              <w:rPr>
                <w:rStyle w:val="Hyperlink"/>
                <w:rFonts w:ascii="Times New Roman" w:hAnsi="Times New Roman" w:cs="Times New Roman"/>
                <w:sz w:val="24"/>
                <w:szCs w:val="24"/>
              </w:rPr>
              <w:t>/md</w:t>
            </w:r>
            <w:r>
              <w:t xml:space="preserve"> </w:t>
            </w:r>
          </w:p>
        </w:tc>
      </w:tr>
      <w:tr w:rsidR="001F1FD4" w:rsidTr="00846AFA">
        <w:tc>
          <w:tcPr>
            <w:tcW w:w="1890" w:type="dxa"/>
          </w:tcPr>
          <w:p w:rsidR="001F1FD4" w:rsidRDefault="001F1FD4" w:rsidP="001F1FD4">
            <w:pPr>
              <w:pStyle w:val="Body"/>
              <w:ind w:firstLine="0"/>
            </w:pPr>
            <w:r>
              <w:t>[EIDR-TO]</w:t>
            </w:r>
          </w:p>
        </w:tc>
        <w:tc>
          <w:tcPr>
            <w:tcW w:w="7460" w:type="dxa"/>
          </w:tcPr>
          <w:p w:rsidR="001F1FD4" w:rsidRDefault="001F1FD4" w:rsidP="001F1FD4">
            <w:pPr>
              <w:pStyle w:val="Body"/>
              <w:ind w:firstLine="0"/>
            </w:pPr>
            <w:r w:rsidRPr="006771E6">
              <w:t>EIDR Technical Overview,</w:t>
            </w:r>
            <w:r>
              <w:t xml:space="preserve"> November 2010. </w:t>
            </w:r>
            <w:hyperlink r:id="rId15" w:anchor="docs" w:history="1">
              <w:r w:rsidRPr="00CB37CE">
                <w:rPr>
                  <w:rStyle w:val="Hyperlink"/>
                  <w:rFonts w:ascii="Times New Roman" w:hAnsi="Times New Roman" w:cs="Times New Roman"/>
                  <w:sz w:val="24"/>
                  <w:szCs w:val="24"/>
                </w:rPr>
                <w:t>http://eidr.org/technology/#docs</w:t>
              </w:r>
            </w:hyperlink>
            <w:r>
              <w:t xml:space="preserve"> </w:t>
            </w:r>
          </w:p>
        </w:tc>
      </w:tr>
      <w:tr w:rsidR="003F3A4D" w:rsidTr="00846AFA">
        <w:tc>
          <w:tcPr>
            <w:tcW w:w="1890" w:type="dxa"/>
          </w:tcPr>
          <w:p w:rsidR="003F3A4D" w:rsidRDefault="003F3A4D" w:rsidP="001F1FD4">
            <w:pPr>
              <w:pStyle w:val="Body"/>
              <w:ind w:firstLine="0"/>
            </w:pPr>
            <w:r>
              <w:t>[MEC]</w:t>
            </w:r>
          </w:p>
        </w:tc>
        <w:tc>
          <w:tcPr>
            <w:tcW w:w="7460" w:type="dxa"/>
          </w:tcPr>
          <w:p w:rsidR="003F3A4D" w:rsidRPr="006771E6" w:rsidRDefault="003F3A4D" w:rsidP="003F3A4D">
            <w:pPr>
              <w:pStyle w:val="Body"/>
              <w:ind w:firstLine="0"/>
            </w:pPr>
            <w:r w:rsidRPr="006771E6">
              <w:t xml:space="preserve">Media Entertainment Core (MEC) Metadata, version 2.4. </w:t>
            </w:r>
            <w:hyperlink r:id="rId16" w:history="1">
              <w:r w:rsidRPr="006771E6">
                <w:rPr>
                  <w:rStyle w:val="Hyperlink"/>
                  <w:rFonts w:ascii="Times New Roman" w:hAnsi="Times New Roman" w:cs="Times New Roman"/>
                  <w:sz w:val="24"/>
                  <w:szCs w:val="24"/>
                </w:rPr>
                <w:t>www.movielabs.com/md/mec</w:t>
              </w:r>
            </w:hyperlink>
            <w:r w:rsidRPr="006771E6">
              <w:t xml:space="preserve"> and </w:t>
            </w:r>
            <w:hyperlink r:id="rId17" w:history="1">
              <w:r w:rsidRPr="006771E6">
                <w:rPr>
                  <w:rStyle w:val="Hyperlink"/>
                  <w:rFonts w:ascii="Times New Roman" w:hAnsi="Times New Roman" w:cs="Times New Roman"/>
                  <w:sz w:val="24"/>
                  <w:szCs w:val="24"/>
                </w:rPr>
                <w:t>http://entmerch.org/programsinitiatives/ema-metadata-structure</w:t>
              </w:r>
            </w:hyperlink>
            <w:r w:rsidRPr="006771E6">
              <w:t>.</w:t>
            </w:r>
          </w:p>
        </w:tc>
      </w:tr>
      <w:tr w:rsidR="008F6893" w:rsidTr="00846AFA">
        <w:tc>
          <w:tcPr>
            <w:tcW w:w="1890" w:type="dxa"/>
          </w:tcPr>
          <w:p w:rsidR="008F6893" w:rsidRDefault="008F6893" w:rsidP="001F1FD4">
            <w:pPr>
              <w:pStyle w:val="Body"/>
              <w:ind w:firstLine="0"/>
            </w:pPr>
            <w:r>
              <w:t>[AVAILS]</w:t>
            </w:r>
          </w:p>
        </w:tc>
        <w:tc>
          <w:tcPr>
            <w:tcW w:w="7460" w:type="dxa"/>
          </w:tcPr>
          <w:p w:rsidR="008F6893" w:rsidRPr="006771E6" w:rsidRDefault="008F6893" w:rsidP="003F3A4D">
            <w:pPr>
              <w:pStyle w:val="Body"/>
              <w:ind w:firstLine="0"/>
            </w:pPr>
            <w:r w:rsidRPr="006771E6">
              <w:t xml:space="preserve">Entertainment Merchant’s Association (EMA) Avails. </w:t>
            </w:r>
            <w:hyperlink r:id="rId18" w:history="1">
              <w:r w:rsidRPr="006771E6">
                <w:rPr>
                  <w:rStyle w:val="Hyperlink"/>
                  <w:rFonts w:ascii="Times New Roman" w:hAnsi="Times New Roman" w:cs="Times New Roman"/>
                  <w:sz w:val="24"/>
                  <w:szCs w:val="24"/>
                </w:rPr>
                <w:t>www.movielabs.com/md/avails</w:t>
              </w:r>
            </w:hyperlink>
            <w:r w:rsidRPr="006771E6">
              <w:t xml:space="preserve"> </w:t>
            </w:r>
          </w:p>
        </w:tc>
      </w:tr>
      <w:tr w:rsidR="00B34E1E" w:rsidTr="00846AFA">
        <w:tc>
          <w:tcPr>
            <w:tcW w:w="1890" w:type="dxa"/>
          </w:tcPr>
          <w:p w:rsidR="00B34E1E" w:rsidRDefault="00B34E1E" w:rsidP="001F1FD4">
            <w:pPr>
              <w:pStyle w:val="Body"/>
              <w:ind w:firstLine="0"/>
            </w:pPr>
            <w:r>
              <w:t>[IMF]</w:t>
            </w:r>
          </w:p>
        </w:tc>
        <w:tc>
          <w:tcPr>
            <w:tcW w:w="7460" w:type="dxa"/>
          </w:tcPr>
          <w:p w:rsidR="00B34E1E" w:rsidRPr="006771E6" w:rsidRDefault="00B34E1E" w:rsidP="003F3A4D">
            <w:pPr>
              <w:pStyle w:val="Body"/>
              <w:ind w:firstLine="0"/>
            </w:pPr>
            <w:r w:rsidRPr="006771E6">
              <w:t xml:space="preserve">SMPTE ST-2067 (family) Interoperable Master Format, </w:t>
            </w:r>
            <w:hyperlink r:id="rId19" w:history="1">
              <w:r w:rsidRPr="006771E6">
                <w:rPr>
                  <w:rStyle w:val="Hyperlink"/>
                  <w:rFonts w:ascii="Times New Roman" w:hAnsi="Times New Roman" w:cs="Times New Roman"/>
                  <w:sz w:val="24"/>
                  <w:szCs w:val="24"/>
                </w:rPr>
                <w:t>www.smpte.org</w:t>
              </w:r>
            </w:hyperlink>
            <w:r w:rsidRPr="006771E6">
              <w:t xml:space="preserve"> </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846AFA">
            <w:pPr>
              <w:pStyle w:val="Body"/>
              <w:ind w:firstLine="0"/>
            </w:pPr>
            <w:r>
              <w:t>[SMPTE2067-2]</w:t>
            </w:r>
          </w:p>
        </w:tc>
        <w:tc>
          <w:tcPr>
            <w:tcW w:w="7460" w:type="dxa"/>
            <w:tcBorders>
              <w:top w:val="nil"/>
              <w:left w:val="nil"/>
              <w:bottom w:val="nil"/>
              <w:right w:val="nil"/>
            </w:tcBorders>
          </w:tcPr>
          <w:p w:rsidR="00846AFA" w:rsidRPr="00980356" w:rsidRDefault="00846AFA" w:rsidP="00132D6F">
            <w:pPr>
              <w:pStyle w:val="Body"/>
              <w:ind w:firstLine="0"/>
            </w:pPr>
            <w:r w:rsidRPr="00980356">
              <w:t>SMPTE ST 2067-2:2013Interoperable Master Format – Core Constraints</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132D6F">
            <w:pPr>
              <w:pStyle w:val="Body"/>
              <w:ind w:firstLine="0"/>
            </w:pPr>
            <w:r>
              <w:t>[SMPTE2067-3]</w:t>
            </w:r>
          </w:p>
        </w:tc>
        <w:tc>
          <w:tcPr>
            <w:tcW w:w="7460" w:type="dxa"/>
            <w:tcBorders>
              <w:top w:val="nil"/>
              <w:left w:val="nil"/>
              <w:bottom w:val="nil"/>
              <w:right w:val="nil"/>
            </w:tcBorders>
          </w:tcPr>
          <w:p w:rsidR="00846AFA" w:rsidRPr="00980356" w:rsidRDefault="00846AFA" w:rsidP="00132D6F">
            <w:pPr>
              <w:pStyle w:val="Body"/>
              <w:ind w:firstLine="0"/>
            </w:pPr>
            <w:r w:rsidRPr="00980356">
              <w:t>SMPTE ST 2067-3:2013Interoperable Master Format – Composition Playlist</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846AFA">
            <w:pPr>
              <w:pStyle w:val="Body"/>
              <w:ind w:firstLine="0"/>
            </w:pPr>
            <w:r>
              <w:t>[</w:t>
            </w:r>
            <w:r w:rsidRPr="00980356">
              <w:t>RFC3986</w:t>
            </w:r>
            <w:r>
              <w:t>]</w:t>
            </w:r>
          </w:p>
        </w:tc>
        <w:tc>
          <w:tcPr>
            <w:tcW w:w="7460" w:type="dxa"/>
            <w:tcBorders>
              <w:top w:val="nil"/>
              <w:left w:val="nil"/>
              <w:bottom w:val="nil"/>
              <w:right w:val="nil"/>
            </w:tcBorders>
          </w:tcPr>
          <w:p w:rsidR="00846AFA" w:rsidRPr="00980356" w:rsidRDefault="00846AFA" w:rsidP="00132D6F">
            <w:pPr>
              <w:pStyle w:val="Body"/>
              <w:ind w:firstLine="0"/>
            </w:pPr>
            <w:r w:rsidRPr="00980356">
              <w:t>IETF RFC 3986Uniform Resource Identifier (URI): Generic Syntax</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846AFA">
            <w:pPr>
              <w:pStyle w:val="Body"/>
              <w:ind w:firstLine="0"/>
            </w:pPr>
            <w:r>
              <w:t>[</w:t>
            </w:r>
            <w:r w:rsidRPr="00980356">
              <w:t>SMPTE 429-9</w:t>
            </w:r>
            <w:r>
              <w:t>]</w:t>
            </w:r>
          </w:p>
        </w:tc>
        <w:tc>
          <w:tcPr>
            <w:tcW w:w="7460" w:type="dxa"/>
            <w:tcBorders>
              <w:top w:val="nil"/>
              <w:left w:val="nil"/>
              <w:bottom w:val="nil"/>
              <w:right w:val="nil"/>
            </w:tcBorders>
          </w:tcPr>
          <w:p w:rsidR="00846AFA" w:rsidRPr="00980356" w:rsidRDefault="00846AFA" w:rsidP="00132D6F">
            <w:pPr>
              <w:pStyle w:val="Body"/>
              <w:ind w:firstLine="0"/>
            </w:pPr>
            <w:r w:rsidRPr="00980356">
              <w:t>SMPTE ST 429-9:2014D-Cinema Packaging —Asset Mapping and File Segmentation</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846AFA">
            <w:pPr>
              <w:pStyle w:val="Body"/>
              <w:ind w:firstLine="0"/>
            </w:pPr>
            <w:r>
              <w:t>[</w:t>
            </w:r>
            <w:r w:rsidRPr="00980356">
              <w:t>SMPTE2067-</w:t>
            </w:r>
            <w:r>
              <w:t>100]</w:t>
            </w:r>
          </w:p>
        </w:tc>
        <w:tc>
          <w:tcPr>
            <w:tcW w:w="7460" w:type="dxa"/>
            <w:tcBorders>
              <w:top w:val="nil"/>
              <w:left w:val="nil"/>
              <w:bottom w:val="nil"/>
              <w:right w:val="nil"/>
            </w:tcBorders>
          </w:tcPr>
          <w:p w:rsidR="00846AFA" w:rsidRPr="00980356" w:rsidRDefault="00846AFA" w:rsidP="00132D6F">
            <w:pPr>
              <w:pStyle w:val="Body"/>
              <w:ind w:firstLine="0"/>
            </w:pPr>
            <w:r w:rsidRPr="00980356">
              <w:t>SMPTE ST 2067-100:2014Interoperable Master Format – Output Profile List</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132D6F">
            <w:pPr>
              <w:pStyle w:val="Body"/>
              <w:ind w:firstLine="0"/>
            </w:pPr>
            <w:r>
              <w:t>[XML]</w:t>
            </w:r>
          </w:p>
        </w:tc>
        <w:tc>
          <w:tcPr>
            <w:tcW w:w="7460" w:type="dxa"/>
            <w:tcBorders>
              <w:top w:val="nil"/>
              <w:left w:val="nil"/>
              <w:bottom w:val="nil"/>
              <w:right w:val="nil"/>
            </w:tcBorders>
          </w:tcPr>
          <w:p w:rsidR="00846AFA" w:rsidRPr="00980356" w:rsidRDefault="00846AFA" w:rsidP="00132D6F">
            <w:pPr>
              <w:pStyle w:val="Body"/>
              <w:ind w:firstLine="0"/>
            </w:pPr>
            <w:r w:rsidRPr="00980356">
              <w:t>World Wide Web Consortium (W3C) (2004</w:t>
            </w:r>
            <w:r>
              <w:t xml:space="preserve"> </w:t>
            </w:r>
            <w:r w:rsidRPr="00980356">
              <w:t>February 4)</w:t>
            </w:r>
            <w:r>
              <w:t>,</w:t>
            </w:r>
            <w:r w:rsidRPr="00980356">
              <w:t xml:space="preserve"> Extensible Markup Language (XML) 1.0 (Third Edition).</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846AFA">
            <w:pPr>
              <w:pStyle w:val="Body"/>
              <w:ind w:firstLine="0"/>
            </w:pPr>
            <w:r>
              <w:t>[</w:t>
            </w:r>
            <w:r w:rsidRPr="00980356">
              <w:t>RFC2616</w:t>
            </w:r>
            <w:r>
              <w:t>]</w:t>
            </w:r>
          </w:p>
        </w:tc>
        <w:tc>
          <w:tcPr>
            <w:tcW w:w="7460" w:type="dxa"/>
            <w:tcBorders>
              <w:top w:val="nil"/>
              <w:left w:val="nil"/>
              <w:bottom w:val="nil"/>
              <w:right w:val="nil"/>
            </w:tcBorders>
          </w:tcPr>
          <w:p w:rsidR="00846AFA" w:rsidRPr="00980356" w:rsidRDefault="00846AFA" w:rsidP="00132D6F">
            <w:pPr>
              <w:pStyle w:val="Body"/>
              <w:ind w:firstLine="0"/>
            </w:pPr>
            <w:r w:rsidRPr="00980356">
              <w:t>IETF RFC 2616Hypertext Transfer Protocol — HTTP/1.1</w:t>
            </w:r>
          </w:p>
        </w:tc>
      </w:tr>
      <w:tr w:rsidR="00846AFA" w:rsidRPr="00980356" w:rsidTr="0084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bottom w:val="nil"/>
              <w:right w:val="nil"/>
            </w:tcBorders>
          </w:tcPr>
          <w:p w:rsidR="00846AFA" w:rsidRPr="00980356" w:rsidRDefault="00846AFA" w:rsidP="00846AFA">
            <w:pPr>
              <w:pStyle w:val="Body"/>
              <w:ind w:firstLine="0"/>
            </w:pPr>
            <w:r>
              <w:t>[</w:t>
            </w:r>
            <w:r w:rsidRPr="00980356">
              <w:t>RFC5246</w:t>
            </w:r>
            <w:r>
              <w:t>]</w:t>
            </w:r>
          </w:p>
        </w:tc>
        <w:tc>
          <w:tcPr>
            <w:tcW w:w="7460" w:type="dxa"/>
            <w:tcBorders>
              <w:top w:val="nil"/>
              <w:left w:val="nil"/>
              <w:bottom w:val="nil"/>
              <w:right w:val="nil"/>
            </w:tcBorders>
          </w:tcPr>
          <w:p w:rsidR="00846AFA" w:rsidRPr="00980356" w:rsidRDefault="00846AFA" w:rsidP="00132D6F">
            <w:pPr>
              <w:pStyle w:val="Body"/>
              <w:ind w:firstLine="0"/>
            </w:pPr>
            <w:r w:rsidRPr="00980356">
              <w:t>IETF RFC 5246</w:t>
            </w:r>
            <w:r>
              <w:t xml:space="preserve">, </w:t>
            </w:r>
            <w:r w:rsidRPr="00980356">
              <w:t>The Transport Layer Security (TLS) Protocol Version 1.2.</w:t>
            </w:r>
          </w:p>
        </w:tc>
      </w:tr>
    </w:tbl>
    <w:p w:rsidR="00980356" w:rsidRDefault="00980356" w:rsidP="00F21D03">
      <w:pPr>
        <w:pStyle w:val="Body"/>
        <w:ind w:left="720" w:hanging="720"/>
      </w:pPr>
    </w:p>
    <w:p w:rsidR="009A08C4" w:rsidRDefault="009A08C4" w:rsidP="00F21D03">
      <w:pPr>
        <w:pStyle w:val="Body"/>
        <w:ind w:left="720" w:hanging="720"/>
      </w:pPr>
      <w:r>
        <w:t xml:space="preserve">All Common Metadata </w:t>
      </w:r>
      <w:r w:rsidR="001669F9">
        <w:t xml:space="preserve">and Media Manifest </w:t>
      </w:r>
      <w:r>
        <w:t>references are included by reference.</w:t>
      </w:r>
    </w:p>
    <w:p w:rsidR="00E46847" w:rsidRDefault="00E46847" w:rsidP="00E46847">
      <w:pPr>
        <w:pStyle w:val="Heading2"/>
        <w:tabs>
          <w:tab w:val="clear" w:pos="720"/>
          <w:tab w:val="num" w:pos="576"/>
        </w:tabs>
        <w:spacing w:before="360" w:after="200"/>
        <w:ind w:left="576" w:hanging="576"/>
      </w:pPr>
      <w:bookmarkStart w:id="31" w:name="_Toc236406164"/>
      <w:bookmarkStart w:id="32" w:name="_Toc303002228"/>
      <w:bookmarkStart w:id="33" w:name="_Toc442136537"/>
      <w:r>
        <w:t>Informative References</w:t>
      </w:r>
      <w:bookmarkEnd w:id="31"/>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1F1FD4" w:rsidTr="001F1FD4">
        <w:tc>
          <w:tcPr>
            <w:tcW w:w="1643" w:type="dxa"/>
          </w:tcPr>
          <w:p w:rsidR="001F1FD4" w:rsidRDefault="001F1FD4" w:rsidP="0099687B">
            <w:pPr>
              <w:pStyle w:val="Body"/>
              <w:ind w:firstLine="0"/>
            </w:pPr>
            <w:r>
              <w:t>[</w:t>
            </w:r>
            <w:proofErr w:type="spellStart"/>
            <w:r>
              <w:t>MMDelivery</w:t>
            </w:r>
            <w:proofErr w:type="spellEnd"/>
            <w:r>
              <w:t>]</w:t>
            </w:r>
          </w:p>
        </w:tc>
        <w:tc>
          <w:tcPr>
            <w:tcW w:w="7717" w:type="dxa"/>
          </w:tcPr>
          <w:p w:rsidR="001F1FD4" w:rsidRDefault="001F1FD4" w:rsidP="001F1FD4">
            <w:pPr>
              <w:pStyle w:val="Body"/>
              <w:ind w:firstLine="0"/>
            </w:pPr>
            <w:r w:rsidRPr="001669F9">
              <w:t>BP-META-MMMD</w:t>
            </w:r>
            <w:r>
              <w:t>,</w:t>
            </w:r>
            <w:r w:rsidRPr="001669F9">
              <w:t xml:space="preserve"> Using Media Manifest, File Manifest and Avails for</w:t>
            </w:r>
            <w:r>
              <w:t xml:space="preserve"> file Delivery (Best Practice)</w:t>
            </w:r>
            <w:r w:rsidRPr="001669F9">
              <w:t>, v1.1</w:t>
            </w:r>
            <w:r>
              <w:t xml:space="preserve">, </w:t>
            </w:r>
            <w:hyperlink r:id="rId20" w:history="1">
              <w:r w:rsidRPr="00F60058">
                <w:rPr>
                  <w:rStyle w:val="Hyperlink"/>
                  <w:rFonts w:ascii="Times New Roman" w:hAnsi="Times New Roman" w:cs="Times New Roman"/>
                  <w:sz w:val="24"/>
                  <w:szCs w:val="24"/>
                </w:rPr>
                <w:t>www.movielabs.com/md/manifest</w:t>
              </w:r>
            </w:hyperlink>
          </w:p>
        </w:tc>
      </w:tr>
      <w:tr w:rsidR="001F5C5B" w:rsidTr="001F1FD4">
        <w:tc>
          <w:tcPr>
            <w:tcW w:w="1643" w:type="dxa"/>
          </w:tcPr>
          <w:p w:rsidR="001F5C5B" w:rsidRDefault="001F5C5B" w:rsidP="0099687B">
            <w:pPr>
              <w:pStyle w:val="Body"/>
              <w:ind w:firstLine="0"/>
            </w:pPr>
            <w:r>
              <w:t>[</w:t>
            </w:r>
            <w:proofErr w:type="spellStart"/>
            <w:r>
              <w:t>GoogleHelp</w:t>
            </w:r>
            <w:proofErr w:type="spellEnd"/>
            <w:r>
              <w:t>]</w:t>
            </w:r>
          </w:p>
        </w:tc>
        <w:tc>
          <w:tcPr>
            <w:tcW w:w="7717" w:type="dxa"/>
          </w:tcPr>
          <w:p w:rsidR="001F5C5B" w:rsidRPr="001669F9" w:rsidRDefault="001F5C5B" w:rsidP="001F1FD4">
            <w:pPr>
              <w:pStyle w:val="Body"/>
              <w:ind w:firstLine="0"/>
            </w:pPr>
            <w:r>
              <w:t xml:space="preserve">Google Play help site. </w:t>
            </w:r>
            <w:hyperlink r:id="rId21" w:history="1">
              <w:r w:rsidRPr="008860E6">
                <w:rPr>
                  <w:rStyle w:val="Hyperlink"/>
                  <w:rFonts w:ascii="Times New Roman" w:hAnsi="Times New Roman" w:cs="Times New Roman"/>
                  <w:sz w:val="24"/>
                  <w:szCs w:val="24"/>
                </w:rPr>
                <w:t>https://support.google.com/moviestvpartners/answer/6154374</w:t>
              </w:r>
            </w:hyperlink>
            <w:r>
              <w:t xml:space="preserve"> </w:t>
            </w:r>
          </w:p>
        </w:tc>
      </w:tr>
      <w:tr w:rsidR="006771E6" w:rsidTr="001F1FD4">
        <w:tc>
          <w:tcPr>
            <w:tcW w:w="1643" w:type="dxa"/>
          </w:tcPr>
          <w:p w:rsidR="006771E6" w:rsidRDefault="006771E6" w:rsidP="0099687B">
            <w:pPr>
              <w:pStyle w:val="Body"/>
              <w:ind w:firstLine="0"/>
            </w:pPr>
            <w:r>
              <w:t>[MMC]</w:t>
            </w:r>
          </w:p>
        </w:tc>
        <w:tc>
          <w:tcPr>
            <w:tcW w:w="7717" w:type="dxa"/>
          </w:tcPr>
          <w:p w:rsidR="006771E6" w:rsidRDefault="006771E6" w:rsidP="001F1FD4">
            <w:pPr>
              <w:pStyle w:val="Body"/>
              <w:ind w:firstLine="0"/>
            </w:pPr>
            <w:r>
              <w:t xml:space="preserve">TR-META-MMC, Media Manifest Core, </w:t>
            </w:r>
            <w:hyperlink r:id="rId22" w:history="1">
              <w:r w:rsidRPr="0006572B">
                <w:rPr>
                  <w:rStyle w:val="Hyperlink"/>
                  <w:rFonts w:ascii="Times New Roman" w:hAnsi="Times New Roman" w:cs="Times New Roman"/>
                  <w:sz w:val="24"/>
                  <w:szCs w:val="24"/>
                </w:rPr>
                <w:t>www.movielabs.com/md/mmc</w:t>
              </w:r>
            </w:hyperlink>
            <w:r>
              <w:t xml:space="preserve"> </w:t>
            </w:r>
          </w:p>
        </w:tc>
      </w:tr>
    </w:tbl>
    <w:p w:rsidR="009C70E5" w:rsidRDefault="009C70E5" w:rsidP="009C70E5">
      <w:pPr>
        <w:pStyle w:val="Heading2"/>
      </w:pPr>
      <w:bookmarkStart w:id="34" w:name="_Toc442136538"/>
      <w:r>
        <w:t>XML Namespaces</w:t>
      </w:r>
      <w:bookmarkEnd w:id="34"/>
    </w:p>
    <w:p w:rsidR="009A08C4" w:rsidRPr="00232C5C" w:rsidRDefault="009C70E5" w:rsidP="00C622E1">
      <w:pPr>
        <w:pStyle w:val="Body"/>
        <w:ind w:firstLine="0"/>
      </w:pPr>
      <w:r>
        <w:t xml:space="preserve">This document </w:t>
      </w:r>
      <w:r w:rsidR="009A08C4">
        <w:t>defines</w:t>
      </w:r>
      <w:r w:rsidR="00131468">
        <w:t xml:space="preserve"> specific us</w:t>
      </w:r>
      <w:r w:rsidR="00C622E1">
        <w:t xml:space="preserve">e of the ‘manifest’ namespace. </w:t>
      </w:r>
    </w:p>
    <w:p w:rsidR="009C70E5" w:rsidRDefault="009A08C4" w:rsidP="00C622E1">
      <w:pPr>
        <w:pStyle w:val="Body"/>
        <w:ind w:firstLine="0"/>
      </w:pPr>
      <w:r>
        <w:t>‘</w:t>
      </w:r>
      <w:proofErr w:type="gramStart"/>
      <w:r w:rsidR="00C622E1">
        <w:t>manifest</w:t>
      </w:r>
      <w:proofErr w:type="gramEnd"/>
      <w:r w:rsidR="00A55C72">
        <w:t>’</w:t>
      </w:r>
      <w:r>
        <w:t xml:space="preserve"> builds on </w:t>
      </w:r>
      <w:r w:rsidR="00C622E1">
        <w:t>the ‘md’</w:t>
      </w:r>
      <w:r w:rsidR="009C70E5">
        <w:t xml:space="preserve"> Common Metadata corresponding with Common Metadata</w:t>
      </w:r>
      <w:r>
        <w:t xml:space="preserve"> [CM]</w:t>
      </w:r>
      <w:r w:rsidR="00C622E1">
        <w:t>.</w:t>
      </w:r>
    </w:p>
    <w:p w:rsidR="009C70E5" w:rsidRDefault="009C70E5" w:rsidP="009C70E5">
      <w:pPr>
        <w:pStyle w:val="Heading2"/>
      </w:pPr>
      <w:bookmarkStart w:id="35" w:name="_Toc240182928"/>
      <w:bookmarkStart w:id="36" w:name="_Toc249809044"/>
      <w:bookmarkStart w:id="37" w:name="_Ref250386021"/>
      <w:bookmarkStart w:id="38" w:name="_Ref250392056"/>
      <w:bookmarkStart w:id="39" w:name="_Ref250392057"/>
      <w:bookmarkStart w:id="40" w:name="_Ref250392072"/>
      <w:bookmarkStart w:id="41" w:name="_Ref250392089"/>
      <w:bookmarkStart w:id="42" w:name="_Ref250447790"/>
      <w:bookmarkStart w:id="43" w:name="_Toc442136539"/>
      <w:r>
        <w:lastRenderedPageBreak/>
        <w:t>Identifiers</w:t>
      </w:r>
      <w:bookmarkStart w:id="44" w:name="_Toc240182929"/>
      <w:bookmarkEnd w:id="35"/>
      <w:bookmarkEnd w:id="36"/>
      <w:bookmarkEnd w:id="37"/>
      <w:bookmarkEnd w:id="38"/>
      <w:bookmarkEnd w:id="39"/>
      <w:bookmarkEnd w:id="40"/>
      <w:bookmarkEnd w:id="41"/>
      <w:bookmarkEnd w:id="42"/>
      <w:bookmarkEnd w:id="43"/>
    </w:p>
    <w:bookmarkEnd w:id="44"/>
    <w:p w:rsidR="009C70E5" w:rsidRDefault="009C70E5" w:rsidP="009C70E5">
      <w:pPr>
        <w:pStyle w:val="Body"/>
      </w:pPr>
      <w:r>
        <w:t xml:space="preserve">Identifiers must be universally unique.  Recommended identifier schemes may be found in Common Metadata </w:t>
      </w:r>
      <w:r w:rsidR="001D4850">
        <w:t xml:space="preserve">[CM] </w:t>
      </w:r>
      <w:r>
        <w:t xml:space="preserve">and in </w:t>
      </w:r>
      <w:r w:rsidR="001D4850">
        <w:t>DECE</w:t>
      </w:r>
      <w:r>
        <w:t xml:space="preserve"> Content Metadata</w:t>
      </w:r>
      <w:r w:rsidR="001D4850">
        <w:t xml:space="preserve"> [DECEMD]</w:t>
      </w:r>
      <w:r>
        <w:t>.</w:t>
      </w:r>
    </w:p>
    <w:p w:rsidR="001D4850" w:rsidRDefault="001D4850" w:rsidP="009C70E5">
      <w:pPr>
        <w:pStyle w:val="Body"/>
      </w:pPr>
      <w:r>
        <w:t>The use of Entertainment Identifier Registry identifiers (</w:t>
      </w:r>
      <w:hyperlink r:id="rId23" w:history="1">
        <w:r w:rsidRPr="00CB37CE">
          <w:rPr>
            <w:rStyle w:val="Hyperlink"/>
            <w:rFonts w:ascii="Times New Roman" w:hAnsi="Times New Roman" w:cs="Times New Roman"/>
            <w:sz w:val="24"/>
            <w:szCs w:val="24"/>
          </w:rPr>
          <w:t>www.eidr.org</w:t>
        </w:r>
      </w:hyperlink>
      <w:r>
        <w:t>) is strongly encouraged.  Please see [EIDR-TO].</w:t>
      </w:r>
    </w:p>
    <w:p w:rsidR="001669F9" w:rsidRPr="00DB73F7" w:rsidRDefault="001669F9" w:rsidP="009C70E5">
      <w:pPr>
        <w:pStyle w:val="Body"/>
      </w:pPr>
      <w:r>
        <w:t xml:space="preserve">Best practices for identifiers can be found in </w:t>
      </w:r>
      <w:r w:rsidR="001F1FD4">
        <w:t>Best Practices for Delivery [</w:t>
      </w:r>
      <w:proofErr w:type="spellStart"/>
      <w:r w:rsidR="001F1FD4">
        <w:t>MMDelivery</w:t>
      </w:r>
      <w:proofErr w:type="spellEnd"/>
      <w:r w:rsidR="001F1FD4">
        <w:t>].</w:t>
      </w:r>
    </w:p>
    <w:p w:rsidR="00AE3732" w:rsidRDefault="009828A1">
      <w:pPr>
        <w:pStyle w:val="Heading2"/>
      </w:pPr>
      <w:bookmarkStart w:id="45" w:name="_Toc235960647"/>
      <w:bookmarkStart w:id="46" w:name="_Toc235960648"/>
      <w:bookmarkStart w:id="47" w:name="_Toc235960649"/>
      <w:bookmarkStart w:id="48" w:name="_Toc235960650"/>
      <w:bookmarkStart w:id="49" w:name="_Toc235960651"/>
      <w:bookmarkStart w:id="50" w:name="_Toc235960652"/>
      <w:bookmarkStart w:id="51" w:name="_Toc235960653"/>
      <w:bookmarkStart w:id="52" w:name="_Toc235960654"/>
      <w:bookmarkStart w:id="53" w:name="_Toc235960660"/>
      <w:bookmarkStart w:id="54" w:name="_Toc235960664"/>
      <w:bookmarkStart w:id="55" w:name="_Toc235960665"/>
      <w:bookmarkStart w:id="56" w:name="_Toc235960667"/>
      <w:bookmarkStart w:id="57" w:name="_Toc235960680"/>
      <w:bookmarkStart w:id="58" w:name="_Toc235960710"/>
      <w:bookmarkStart w:id="59" w:name="_Toc235960712"/>
      <w:bookmarkStart w:id="60" w:name="_Toc235960725"/>
      <w:bookmarkStart w:id="61" w:name="_Toc235960731"/>
      <w:bookmarkStart w:id="62" w:name="_Toc235960755"/>
      <w:bookmarkStart w:id="63" w:name="_Toc235960784"/>
      <w:bookmarkStart w:id="64" w:name="_Toc44213654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Status</w:t>
      </w:r>
      <w:bookmarkEnd w:id="64"/>
    </w:p>
    <w:p w:rsidR="00AE3732" w:rsidRDefault="009828A1">
      <w:pPr>
        <w:pStyle w:val="Body"/>
      </w:pPr>
      <w:r w:rsidRPr="00862FB6">
        <w:t xml:space="preserve">This specification is completed and ready for implementation. Although tested, we anticipate that additional implementation experience will yield recommendation for changes.  Implementers should anticipate </w:t>
      </w:r>
      <w:r w:rsidR="001C6AF8" w:rsidRPr="00862FB6">
        <w:t xml:space="preserve">one or more </w:t>
      </w:r>
      <w:r w:rsidRPr="00862FB6">
        <w:t>revision</w:t>
      </w:r>
      <w:r w:rsidR="001C6AF8" w:rsidRPr="00862FB6">
        <w:t>s.  Reasonable measures will be taken to ensure changes are backwards compatible.</w:t>
      </w:r>
      <w:r w:rsidR="001D4850">
        <w:t xml:space="preserve">  See Backwards Compatibility Best Practices in [CM]</w:t>
      </w:r>
    </w:p>
    <w:p w:rsidR="000B3018" w:rsidRDefault="000B3018" w:rsidP="00066146">
      <w:pPr>
        <w:pStyle w:val="Heading1"/>
        <w:spacing w:before="0"/>
      </w:pPr>
      <w:bookmarkStart w:id="65" w:name="_Toc235960638"/>
      <w:bookmarkStart w:id="66" w:name="_Toc244596718"/>
      <w:bookmarkStart w:id="67" w:name="_Toc244938985"/>
      <w:bookmarkStart w:id="68" w:name="_Toc245117632"/>
      <w:bookmarkStart w:id="69" w:name="_Toc442136541"/>
      <w:bookmarkEnd w:id="65"/>
      <w:bookmarkEnd w:id="66"/>
      <w:bookmarkEnd w:id="67"/>
      <w:bookmarkEnd w:id="68"/>
      <w:r>
        <w:lastRenderedPageBreak/>
        <w:t>Product Definition</w:t>
      </w:r>
      <w:bookmarkEnd w:id="69"/>
    </w:p>
    <w:p w:rsidR="000B3018" w:rsidRDefault="00C01DF8" w:rsidP="000B3018">
      <w:pPr>
        <w:pStyle w:val="Body"/>
      </w:pPr>
      <w:r>
        <w:t xml:space="preserve">A studio defines a product to be sold.  This product centered on a title (e.g., movie or TV episode) or collection of titles (seasons, movie series, etc.).  For the purposes of an Avail, it is sufficiently defined to put it on a store site and offer it for sale. However, to deliver that title to the consumer </w:t>
      </w:r>
      <w:r w:rsidR="0041270A">
        <w:t>requires a series of progressively more precise definitions, ultimately resulting in encoded bits of digital media.</w:t>
      </w:r>
    </w:p>
    <w:p w:rsidR="00234249" w:rsidRDefault="00234249" w:rsidP="000B3018">
      <w:pPr>
        <w:pStyle w:val="Body"/>
      </w:pPr>
      <w:r>
        <w:t xml:space="preserve">As illustrated below, Sales and Fulfillment can be seen as separate processes.  On the retailer side, they are linked by the Entitlement (what was sold or rented to whom).  On the studios side additional information is needed to precisely define what is being availed.  This specification defines a structure based on Media Manifest for communicating that information.  </w:t>
      </w:r>
    </w:p>
    <w:p w:rsidR="0041270A" w:rsidRDefault="00234249" w:rsidP="000B3018">
      <w:pPr>
        <w:pStyle w:val="Body"/>
      </w:pPr>
      <w:r>
        <w:object w:dxaOrig="7779" w:dyaOrig="3521">
          <v:shape id="_x0000_i1026" type="#_x0000_t75" style="width:388.8pt;height:175.7pt" o:ole="">
            <v:imagedata r:id="rId24" o:title=""/>
          </v:shape>
          <o:OLEObject Type="Embed" ProgID="Visio.Drawing.11" ShapeID="_x0000_i1026" DrawAspect="Content" ObjectID="_1515878375" r:id="rId25"/>
        </w:object>
      </w:r>
    </w:p>
    <w:p w:rsidR="0041270A" w:rsidRDefault="0041270A" w:rsidP="000B3018">
      <w:pPr>
        <w:pStyle w:val="Body"/>
      </w:pPr>
      <w:r>
        <w:t>The Media Manifest is ideal for the progressive definitions because it is constructed as layers which can be abstract (initially) or very specific (ultimately).  For example, initially a set of tracks might be defined just be language (e.g., “French subs and dubs”) and later defined as individually encoded audio and subtitle tracks packaged in a container.</w:t>
      </w:r>
    </w:p>
    <w:p w:rsidR="00234249" w:rsidRDefault="00234249" w:rsidP="00234249">
      <w:pPr>
        <w:pStyle w:val="Heading2"/>
      </w:pPr>
      <w:bookmarkStart w:id="70" w:name="_Toc442136542"/>
      <w:r>
        <w:t>Product Definition Evolution</w:t>
      </w:r>
      <w:bookmarkEnd w:id="70"/>
    </w:p>
    <w:p w:rsidR="00234249" w:rsidRDefault="00234249" w:rsidP="00234249">
      <w:pPr>
        <w:pStyle w:val="Body"/>
      </w:pPr>
      <w:r>
        <w:t xml:space="preserve">Product definition is a process. That is, it starts abstractly and becomes increasing more concrete as development and delivery progresses.  </w:t>
      </w:r>
      <w:r w:rsidR="008E3C58">
        <w:t>Some of this planning occurs in pre-production and production, particularly around extended editions and bonus material; although these won’t be addressed here.  This spec assumes that there is at least a list of assets that can be included in an offering.</w:t>
      </w:r>
    </w:p>
    <w:p w:rsidR="00C03F3A" w:rsidRDefault="00C03F3A" w:rsidP="00C03F3A">
      <w:pPr>
        <w:pStyle w:val="Heading3"/>
      </w:pPr>
      <w:bookmarkStart w:id="71" w:name="_Toc442136543"/>
      <w:r>
        <w:t>Offering/Avail</w:t>
      </w:r>
      <w:bookmarkEnd w:id="71"/>
    </w:p>
    <w:p w:rsidR="008E3C58" w:rsidRDefault="008E3C58" w:rsidP="008E3C58">
      <w:pPr>
        <w:pStyle w:val="Body"/>
      </w:pPr>
      <w:r>
        <w:t>The first Avails can be issues months in advance of release date.  At this point, the Avail is typically against a title, season or episode number.</w:t>
      </w:r>
      <w:r w:rsidR="00C03F3A">
        <w:t xml:space="preserve"> Note that it is valuable to obtain an EIDR identifier for the content because it remains constant even if attributes such as title change.  As avails are tied to locales, the store language would be known, but the set of available subs and dubs might not.</w:t>
      </w:r>
    </w:p>
    <w:p w:rsidR="00C03F3A" w:rsidRDefault="00C03F3A" w:rsidP="008E3C58">
      <w:pPr>
        <w:pStyle w:val="Body"/>
      </w:pPr>
      <w:r>
        <w:lastRenderedPageBreak/>
        <w:t>At this point, the product can be sold (including pre-order), rented or made available for subscription resulting in an entitlement.  The entitlement might be internal to the retailer or it might be in a common repository such as UltraViolet or Disney Movies Anywhere (DMA).</w:t>
      </w:r>
    </w:p>
    <w:p w:rsidR="00C03F3A" w:rsidRDefault="00C03F3A" w:rsidP="008E3C58">
      <w:pPr>
        <w:pStyle w:val="Body"/>
      </w:pPr>
      <w:r>
        <w:t>At some data, the content will be available for streaming or download.</w:t>
      </w:r>
    </w:p>
    <w:p w:rsidR="00C03F3A" w:rsidRDefault="00C03F3A" w:rsidP="00C03F3A">
      <w:pPr>
        <w:pStyle w:val="Heading3"/>
      </w:pPr>
      <w:bookmarkStart w:id="72" w:name="_Toc442136544"/>
      <w:r>
        <w:t>Fulfillment</w:t>
      </w:r>
      <w:bookmarkEnd w:id="72"/>
    </w:p>
    <w:p w:rsidR="00C03F3A" w:rsidRDefault="00AB5733" w:rsidP="00C03F3A">
      <w:pPr>
        <w:pStyle w:val="Body"/>
      </w:pPr>
      <w:r>
        <w:t>Fulfillment requires the product to ultimately be delivered as digital data.</w:t>
      </w:r>
      <w:r w:rsidR="001A4AA9">
        <w:t xml:space="preserve">  This involves both the generation of that digital media, in what we’re calling mezzanine format, and the matching of the digital media with the product definition.</w:t>
      </w:r>
    </w:p>
    <w:p w:rsidR="001A4AA9" w:rsidRDefault="001A4AA9" w:rsidP="00C03F3A">
      <w:pPr>
        <w:pStyle w:val="Body"/>
      </w:pPr>
      <w:r>
        <w:t>Linkage differs slightly depending on when and where this matching occurs.</w:t>
      </w:r>
      <w:r w:rsidR="0053603E">
        <w:t xml:space="preserve">  Early on, the linkage is abstract (e.g., “The French dub Track”).  Later it becomes more specific, (“Track </w:t>
      </w:r>
      <w:proofErr w:type="spellStart"/>
      <w:r w:rsidR="0053603E">
        <w:t>nnn</w:t>
      </w:r>
      <w:proofErr w:type="spellEnd"/>
      <w:r w:rsidR="0053603E">
        <w:t xml:space="preserve"> in File xxx).  These specific references tend to container and media formats.  </w:t>
      </w:r>
      <w:r>
        <w:t xml:space="preserve">For example, </w:t>
      </w:r>
      <w:r w:rsidR="0053603E">
        <w:t>if</w:t>
      </w:r>
      <w:r>
        <w:t xml:space="preserve"> the mezzanine files are in the Interoperable Master Format (IMF) format, the linkage is to IMF </w:t>
      </w:r>
      <w:r w:rsidR="0053603E">
        <w:t xml:space="preserve">UUIDs, </w:t>
      </w:r>
      <w:r>
        <w:t xml:space="preserve">Composition Playlists (CPLs) and/or Output Profile Lists (OPLs).  If the mezzanine files are </w:t>
      </w:r>
      <w:r w:rsidR="0053603E">
        <w:t>.</w:t>
      </w:r>
      <w:proofErr w:type="spellStart"/>
      <w:r w:rsidR="0053603E">
        <w:t>mov</w:t>
      </w:r>
      <w:proofErr w:type="spellEnd"/>
      <w:r w:rsidR="0053603E">
        <w:t xml:space="preserve"> files, then the linkage is typically file names and track IDs.</w:t>
      </w:r>
    </w:p>
    <w:p w:rsidR="00091AD0" w:rsidRDefault="00091AD0" w:rsidP="00C03F3A">
      <w:pPr>
        <w:pStyle w:val="Body"/>
      </w:pPr>
      <w:r>
        <w:t>The following illustrates a potential evolution of product definition for a film</w:t>
      </w:r>
      <w:r w:rsidR="006D4AA4">
        <w:t>.  Note that the order is not the same for every film or every studio.  These processes will also overlap.</w:t>
      </w:r>
    </w:p>
    <w:p w:rsidR="00091AD0" w:rsidRDefault="00091AD0" w:rsidP="00F222AF">
      <w:pPr>
        <w:pStyle w:val="Body"/>
        <w:numPr>
          <w:ilvl w:val="0"/>
          <w:numId w:val="20"/>
        </w:numPr>
      </w:pPr>
      <w:r>
        <w:t>Film planned for distribution</w:t>
      </w:r>
    </w:p>
    <w:p w:rsidR="00091AD0" w:rsidRDefault="00091AD0" w:rsidP="00F222AF">
      <w:pPr>
        <w:pStyle w:val="Body"/>
        <w:numPr>
          <w:ilvl w:val="1"/>
          <w:numId w:val="21"/>
        </w:numPr>
      </w:pPr>
      <w:r>
        <w:t>Title, possible working title</w:t>
      </w:r>
    </w:p>
    <w:p w:rsidR="00091AD0" w:rsidRDefault="00091AD0" w:rsidP="00F222AF">
      <w:pPr>
        <w:pStyle w:val="Body"/>
        <w:numPr>
          <w:ilvl w:val="1"/>
          <w:numId w:val="21"/>
        </w:numPr>
      </w:pPr>
      <w:r>
        <w:t>Register Abstract EIDR (title level)</w:t>
      </w:r>
    </w:p>
    <w:p w:rsidR="00091AD0" w:rsidRDefault="00091AD0" w:rsidP="00F222AF">
      <w:pPr>
        <w:pStyle w:val="Body"/>
        <w:numPr>
          <w:ilvl w:val="0"/>
          <w:numId w:val="20"/>
        </w:numPr>
      </w:pPr>
      <w:r>
        <w:t>Associated assets tentatively planned</w:t>
      </w:r>
    </w:p>
    <w:p w:rsidR="00091AD0" w:rsidRDefault="00091AD0" w:rsidP="00F222AF">
      <w:pPr>
        <w:pStyle w:val="Body"/>
        <w:numPr>
          <w:ilvl w:val="1"/>
          <w:numId w:val="22"/>
        </w:numPr>
      </w:pPr>
      <w:r>
        <w:t>This can include trailers, EPKs, various bonus material, interactive components, etc.</w:t>
      </w:r>
    </w:p>
    <w:p w:rsidR="00091AD0" w:rsidRDefault="00091AD0" w:rsidP="00F222AF">
      <w:pPr>
        <w:pStyle w:val="Body"/>
        <w:numPr>
          <w:ilvl w:val="1"/>
          <w:numId w:val="22"/>
        </w:numPr>
      </w:pPr>
      <w:r>
        <w:t>Process for these is essentially the same as the film, although they will be on their own schedules until the end</w:t>
      </w:r>
    </w:p>
    <w:p w:rsidR="00091AD0" w:rsidRDefault="008505C7" w:rsidP="00F222AF">
      <w:pPr>
        <w:pStyle w:val="Body"/>
        <w:numPr>
          <w:ilvl w:val="0"/>
          <w:numId w:val="20"/>
        </w:numPr>
      </w:pPr>
      <w:r>
        <w:t>Product definition begins to take form</w:t>
      </w:r>
    </w:p>
    <w:p w:rsidR="008505C7" w:rsidRDefault="008505C7" w:rsidP="00F222AF">
      <w:pPr>
        <w:pStyle w:val="Body"/>
        <w:numPr>
          <w:ilvl w:val="1"/>
          <w:numId w:val="23"/>
        </w:numPr>
      </w:pPr>
      <w:r>
        <w:t>What subs and dubs will be necessary</w:t>
      </w:r>
    </w:p>
    <w:p w:rsidR="008505C7" w:rsidRDefault="008505C7" w:rsidP="00F222AF">
      <w:pPr>
        <w:pStyle w:val="Body"/>
        <w:numPr>
          <w:ilvl w:val="1"/>
          <w:numId w:val="23"/>
        </w:numPr>
      </w:pPr>
      <w:r>
        <w:t>International edits and localizations (e.g., language or culturally specific imagery).  Note that some of this will depend on results from local ratings bodies.</w:t>
      </w:r>
    </w:p>
    <w:p w:rsidR="008505C7" w:rsidRDefault="008505C7" w:rsidP="00F222AF">
      <w:pPr>
        <w:pStyle w:val="Body"/>
        <w:numPr>
          <w:ilvl w:val="1"/>
          <w:numId w:val="23"/>
        </w:numPr>
      </w:pPr>
      <w:r>
        <w:t>Specialized video and audio tracks (HDR, WCG, HFR, object-based sound,</w:t>
      </w:r>
      <w:r w:rsidR="00F222AF">
        <w:t xml:space="preserve"> etc</w:t>
      </w:r>
      <w:r>
        <w:t>.</w:t>
      </w:r>
    </w:p>
    <w:p w:rsidR="008505C7" w:rsidRDefault="008505C7" w:rsidP="00F222AF">
      <w:pPr>
        <w:pStyle w:val="Body"/>
        <w:numPr>
          <w:ilvl w:val="1"/>
          <w:numId w:val="23"/>
        </w:numPr>
      </w:pPr>
      <w:r>
        <w:t xml:space="preserve">Which trailers, clips, bonus material and interactivity will be included in various </w:t>
      </w:r>
      <w:proofErr w:type="gramStart"/>
      <w:r>
        <w:t>packages.</w:t>
      </w:r>
      <w:proofErr w:type="gramEnd"/>
      <w:r>
        <w:t xml:space="preserve">  At this point planning might be “with bonus or without bonus” without more specificity.</w:t>
      </w:r>
    </w:p>
    <w:p w:rsidR="006D4AA4" w:rsidRDefault="006D4AA4" w:rsidP="00F222AF">
      <w:pPr>
        <w:pStyle w:val="Body"/>
        <w:numPr>
          <w:ilvl w:val="1"/>
          <w:numId w:val="23"/>
        </w:numPr>
      </w:pPr>
      <w:r>
        <w:t>Cover art, hero art and other image components are planned (at least tentatively)</w:t>
      </w:r>
    </w:p>
    <w:p w:rsidR="006D4AA4" w:rsidRDefault="006D4AA4" w:rsidP="00F222AF">
      <w:pPr>
        <w:pStyle w:val="Body"/>
        <w:numPr>
          <w:ilvl w:val="1"/>
          <w:numId w:val="23"/>
        </w:numPr>
      </w:pPr>
      <w:r>
        <w:lastRenderedPageBreak/>
        <w:t>Initial edit-level EIDRs are registered</w:t>
      </w:r>
    </w:p>
    <w:p w:rsidR="008505C7" w:rsidRDefault="006D4AA4" w:rsidP="00F222AF">
      <w:pPr>
        <w:pStyle w:val="Body"/>
        <w:numPr>
          <w:ilvl w:val="0"/>
          <w:numId w:val="20"/>
        </w:numPr>
      </w:pPr>
      <w:r>
        <w:t>M</w:t>
      </w:r>
      <w:r w:rsidR="008505C7">
        <w:t xml:space="preserve">ezzanine files are created for various media components.  </w:t>
      </w:r>
    </w:p>
    <w:p w:rsidR="008505C7" w:rsidRDefault="008505C7" w:rsidP="00F222AF">
      <w:pPr>
        <w:pStyle w:val="Body"/>
        <w:numPr>
          <w:ilvl w:val="1"/>
          <w:numId w:val="24"/>
        </w:numPr>
      </w:pPr>
      <w:r>
        <w:t>Video, audio and subtitles can be packaged together into forms like IMF, or separate files can be generated.</w:t>
      </w:r>
    </w:p>
    <w:p w:rsidR="006D4AA4" w:rsidRDefault="006D4AA4" w:rsidP="00F222AF">
      <w:pPr>
        <w:pStyle w:val="Body"/>
        <w:numPr>
          <w:ilvl w:val="1"/>
          <w:numId w:val="24"/>
        </w:numPr>
      </w:pPr>
      <w:r>
        <w:t>High quality images are generated.</w:t>
      </w:r>
    </w:p>
    <w:p w:rsidR="006D4AA4" w:rsidRDefault="006D4AA4" w:rsidP="00F222AF">
      <w:pPr>
        <w:pStyle w:val="Body"/>
        <w:numPr>
          <w:ilvl w:val="1"/>
          <w:numId w:val="24"/>
        </w:numPr>
      </w:pPr>
      <w:r>
        <w:t>Manifestation EIDRs can be generated for these mezzanine files</w:t>
      </w:r>
    </w:p>
    <w:p w:rsidR="008505C7" w:rsidRDefault="006D4AA4" w:rsidP="00F222AF">
      <w:pPr>
        <w:pStyle w:val="Body"/>
        <w:numPr>
          <w:ilvl w:val="0"/>
          <w:numId w:val="20"/>
        </w:numPr>
      </w:pPr>
      <w:r>
        <w:t>Final deliverable to retailer is generated</w:t>
      </w:r>
    </w:p>
    <w:p w:rsidR="006D4AA4" w:rsidRDefault="006D4AA4" w:rsidP="00F222AF">
      <w:pPr>
        <w:pStyle w:val="Body"/>
        <w:numPr>
          <w:ilvl w:val="1"/>
          <w:numId w:val="25"/>
        </w:numPr>
      </w:pPr>
      <w:r>
        <w:t>Media could be standard mezzanines or retailer-specific formats</w:t>
      </w:r>
    </w:p>
    <w:p w:rsidR="006D4AA4" w:rsidRDefault="006D4AA4" w:rsidP="00F222AF">
      <w:pPr>
        <w:pStyle w:val="Body"/>
        <w:numPr>
          <w:ilvl w:val="1"/>
          <w:numId w:val="25"/>
        </w:numPr>
      </w:pPr>
      <w:r>
        <w:t>Market and retailers-specific packages are created</w:t>
      </w:r>
    </w:p>
    <w:p w:rsidR="00F222AF" w:rsidRDefault="00F222AF" w:rsidP="00F222AF">
      <w:pPr>
        <w:pStyle w:val="Body"/>
        <w:numPr>
          <w:ilvl w:val="1"/>
          <w:numId w:val="25"/>
        </w:numPr>
      </w:pPr>
      <w:r>
        <w:t>Content delivered to retailer using Media Manifest Core (MMC) [MMC] or more broadly Best Practices for Delivery [</w:t>
      </w:r>
      <w:proofErr w:type="spellStart"/>
      <w:r>
        <w:t>MMDelivery</w:t>
      </w:r>
      <w:proofErr w:type="spellEnd"/>
      <w:r>
        <w:t>].</w:t>
      </w:r>
    </w:p>
    <w:p w:rsidR="0053603E" w:rsidRDefault="00F222AF" w:rsidP="00C03F3A">
      <w:pPr>
        <w:pStyle w:val="Body"/>
      </w:pPr>
      <w:r>
        <w:t>Although Media Manifest can provide useful functionality earlier, this document focuses on activities in #3, forward with particular emphasis on #4 activities.</w:t>
      </w:r>
    </w:p>
    <w:p w:rsidR="00F021BF" w:rsidRDefault="00F021BF" w:rsidP="00F021BF">
      <w:pPr>
        <w:pStyle w:val="Body"/>
      </w:pPr>
      <w:r>
        <w:t>Product Definition includes well-defined subset of Media Manifest.  Structurally, Product Definition matches Media Manifest for Delivery [</w:t>
      </w:r>
      <w:proofErr w:type="spellStart"/>
      <w:r>
        <w:t>MMDelivery</w:t>
      </w:r>
      <w:proofErr w:type="spellEnd"/>
      <w:r>
        <w:t>], Media Manifest Core (MMC) [MMC] and Media Manifest for Interactivity (</w:t>
      </w:r>
      <w:r w:rsidRPr="0053603E">
        <w:rPr>
          <w:highlight w:val="yellow"/>
        </w:rPr>
        <w:t>TBS</w:t>
      </w:r>
      <w:r>
        <w:t>).</w:t>
      </w:r>
    </w:p>
    <w:p w:rsidR="00F021BF" w:rsidRDefault="00F021BF" w:rsidP="00F021BF">
      <w:pPr>
        <w:pStyle w:val="Body"/>
      </w:pPr>
      <w:r>
        <w:t>The primary difference between Product Definition and other uses of Media Manifest are in the Inventory section of the Media Manifest.  That is because product structure is the same regardless of where it is in the supply chain, but the media assets are different.  By design, these changes are isolated to the Inventory.</w:t>
      </w:r>
    </w:p>
    <w:p w:rsidR="001112F0" w:rsidRDefault="00F021BF" w:rsidP="001112F0">
      <w:pPr>
        <w:pStyle w:val="Heading2"/>
      </w:pPr>
      <w:bookmarkStart w:id="73" w:name="_Toc442136545"/>
      <w:r>
        <w:t>Structure of Content in Media Manifest</w:t>
      </w:r>
      <w:bookmarkEnd w:id="73"/>
    </w:p>
    <w:p w:rsidR="001112F0" w:rsidRDefault="00F021BF" w:rsidP="001112F0">
      <w:pPr>
        <w:pStyle w:val="Body"/>
      </w:pPr>
      <w:r>
        <w:t xml:space="preserve">Media Manifest [Manifest], Section 8.1 and Media Manifest Core [MMC], Section 2.  MMC provides examples of how movies and TV are encoded.  As the structure of the Manifest is the same at any point in delivery, these guidelines and example apply directly.  </w:t>
      </w:r>
      <w:r w:rsidRPr="00F021BF">
        <w:rPr>
          <w:highlight w:val="yellow"/>
        </w:rPr>
        <w:t>The only difference in Product Definition is that there are different rules for Inventory.</w:t>
      </w:r>
    </w:p>
    <w:p w:rsidR="00F021BF" w:rsidRDefault="00E172FE" w:rsidP="00E172FE">
      <w:pPr>
        <w:pStyle w:val="Heading1"/>
      </w:pPr>
      <w:bookmarkStart w:id="74" w:name="_Toc442136546"/>
      <w:r>
        <w:lastRenderedPageBreak/>
        <w:t>Media Manifest</w:t>
      </w:r>
      <w:bookmarkEnd w:id="74"/>
    </w:p>
    <w:p w:rsidR="00E172FE" w:rsidRDefault="00E172FE" w:rsidP="00E172FE">
      <w:pPr>
        <w:pStyle w:val="Heading2"/>
      </w:pPr>
      <w:bookmarkStart w:id="75" w:name="_Toc442136547"/>
      <w:r>
        <w:t>Media Manifest derived types</w:t>
      </w:r>
      <w:bookmarkEnd w:id="75"/>
    </w:p>
    <w:p w:rsidR="00E172FE" w:rsidRDefault="00E172FE" w:rsidP="00E172FE">
      <w:pPr>
        <w:pStyle w:val="Body"/>
      </w:pPr>
      <w:r>
        <w:t>Media Manifest [Manifest] includes elements provides a layered model of information that abstracts various portions of content delivery.  The following illustrates the subset of the Media Manifest used in the Media Manifest Core.</w:t>
      </w:r>
    </w:p>
    <w:p w:rsidR="00E172FE" w:rsidRDefault="00E172FE" w:rsidP="00E172FE">
      <w:pPr>
        <w:pStyle w:val="Body"/>
        <w:ind w:firstLine="0"/>
      </w:pPr>
      <w:r>
        <w:object w:dxaOrig="11054" w:dyaOrig="7274">
          <v:shape id="_x0000_i1027" type="#_x0000_t75" style="width:461.95pt;height:304.7pt" o:ole="">
            <v:imagedata r:id="rId26" o:title=""/>
          </v:shape>
          <o:OLEObject Type="Embed" ProgID="Visio.Drawing.11" ShapeID="_x0000_i1027" DrawAspect="Content" ObjectID="_1515878376" r:id="rId27"/>
        </w:object>
      </w:r>
    </w:p>
    <w:p w:rsidR="00E172FE" w:rsidRDefault="00E172FE" w:rsidP="00E172FE">
      <w:pPr>
        <w:pStyle w:val="Body"/>
        <w:ind w:firstLine="0"/>
      </w:pPr>
      <w:r>
        <w:t>This specification uses the following abstractions:</w:t>
      </w:r>
    </w:p>
    <w:p w:rsidR="00E172FE" w:rsidRDefault="00E172FE" w:rsidP="00E172FE">
      <w:pPr>
        <w:pStyle w:val="Body"/>
        <w:numPr>
          <w:ilvl w:val="0"/>
          <w:numId w:val="6"/>
        </w:numPr>
      </w:pPr>
      <w:r w:rsidRPr="00BC694B">
        <w:rPr>
          <w:b/>
        </w:rPr>
        <w:t>Media</w:t>
      </w:r>
      <w:r>
        <w:t xml:space="preserve"> – Video, audio, subtitles, images, applications, etc.  This specification defines neither the media nor its delivery.  These processes should not be impacted by the use of the Manifest</w:t>
      </w:r>
    </w:p>
    <w:p w:rsidR="00E172FE" w:rsidRDefault="00E172FE" w:rsidP="00E172FE">
      <w:pPr>
        <w:pStyle w:val="Body"/>
        <w:numPr>
          <w:ilvl w:val="0"/>
          <w:numId w:val="6"/>
        </w:numPr>
      </w:pPr>
      <w:r w:rsidRPr="00BC694B">
        <w:rPr>
          <w:b/>
        </w:rPr>
        <w:t>Inventory</w:t>
      </w:r>
      <w:r>
        <w:t xml:space="preserve"> – The inventory describes (metadata) and points to media.  I references down to individual tracks, images, etc.  This provides the necessary abstraction to the media which, as mentioned above, can be in any format.  </w:t>
      </w:r>
    </w:p>
    <w:p w:rsidR="00E172FE" w:rsidRDefault="00E172FE" w:rsidP="00E172FE">
      <w:pPr>
        <w:pStyle w:val="Body"/>
        <w:numPr>
          <w:ilvl w:val="0"/>
          <w:numId w:val="6"/>
        </w:numPr>
      </w:pPr>
      <w:r>
        <w:rPr>
          <w:b/>
        </w:rPr>
        <w:t>Grouping</w:t>
      </w:r>
      <w:r>
        <w:t xml:space="preserve"> – The manifest groups content that is related at playback.  Presentation and Picture support are required; while Applications and Text are optional.</w:t>
      </w:r>
    </w:p>
    <w:p w:rsidR="00E172FE" w:rsidRDefault="00E172FE" w:rsidP="00E172FE">
      <w:pPr>
        <w:pStyle w:val="Body"/>
        <w:numPr>
          <w:ilvl w:val="1"/>
          <w:numId w:val="6"/>
        </w:numPr>
      </w:pPr>
      <w:r>
        <w:t>Presentation – Tracks that play together</w:t>
      </w:r>
    </w:p>
    <w:p w:rsidR="00E172FE" w:rsidRDefault="00E172FE" w:rsidP="00E172FE">
      <w:pPr>
        <w:pStyle w:val="Body"/>
        <w:numPr>
          <w:ilvl w:val="1"/>
          <w:numId w:val="6"/>
        </w:numPr>
      </w:pPr>
      <w:r>
        <w:t>Picture – Images that are related.  This includes both metadata images (i.e., cover/key art).  In other applications, this includes image galleries.</w:t>
      </w:r>
    </w:p>
    <w:p w:rsidR="00E172FE" w:rsidRDefault="00E172FE" w:rsidP="00E172FE">
      <w:pPr>
        <w:pStyle w:val="Body"/>
        <w:numPr>
          <w:ilvl w:val="0"/>
          <w:numId w:val="6"/>
        </w:numPr>
      </w:pPr>
      <w:r w:rsidRPr="00425922">
        <w:rPr>
          <w:b/>
        </w:rPr>
        <w:lastRenderedPageBreak/>
        <w:t>Experience</w:t>
      </w:r>
      <w:r>
        <w:t xml:space="preserve"> – Connects related content (e.g., trailers to a movie)</w:t>
      </w:r>
    </w:p>
    <w:p w:rsidR="00E172FE" w:rsidRDefault="00E172FE" w:rsidP="00E172FE">
      <w:pPr>
        <w:pStyle w:val="Body"/>
      </w:pPr>
      <w:r>
        <w:t>All mandatory elements and attributes must be included. Any optional elements may be included. The following elements and attributes are required for MMDC usage, regardless of whether they are optional, except as noted.</w:t>
      </w:r>
    </w:p>
    <w:p w:rsidR="00E172FE" w:rsidRDefault="00E172FE" w:rsidP="00E172FE">
      <w:pPr>
        <w:pStyle w:val="Body"/>
        <w:ind w:firstLine="0"/>
      </w:pPr>
      <w:r>
        <w:t>The following table uses the following conventions:</w:t>
      </w:r>
    </w:p>
    <w:p w:rsidR="00E172FE" w:rsidRDefault="00E172FE" w:rsidP="00E172FE">
      <w:pPr>
        <w:pStyle w:val="Body"/>
        <w:numPr>
          <w:ilvl w:val="0"/>
          <w:numId w:val="7"/>
        </w:numPr>
      </w:pPr>
      <w:r>
        <w:t>Structure is given by table indentation.  Parent level elements to the left.</w:t>
      </w:r>
    </w:p>
    <w:p w:rsidR="00E172FE" w:rsidRDefault="00E172FE" w:rsidP="00E172FE">
      <w:pPr>
        <w:pStyle w:val="Body"/>
        <w:numPr>
          <w:ilvl w:val="0"/>
          <w:numId w:val="7"/>
        </w:numPr>
      </w:pPr>
      <w:r>
        <w:t>Attributes begin with ‘@’.  For example, @ContentID refers to the ContentID attribute</w:t>
      </w:r>
    </w:p>
    <w:p w:rsidR="00E172FE" w:rsidRDefault="00E172FE" w:rsidP="00E172FE">
      <w:pPr>
        <w:pStyle w:val="Heading2"/>
      </w:pPr>
      <w:bookmarkStart w:id="76" w:name="_Toc442136548"/>
      <w:r>
        <w:t>Identifiers</w:t>
      </w:r>
      <w:bookmarkEnd w:id="76"/>
    </w:p>
    <w:p w:rsidR="00E172FE" w:rsidRDefault="00E172FE" w:rsidP="00E172FE">
      <w:pPr>
        <w:pStyle w:val="Body"/>
      </w:pPr>
      <w:r>
        <w:t xml:space="preserve">The identifier mechanism is very flexible, but understanding a few principles and following a few rules keeps things simple.  First a reminder, IDs are formatted as follows: </w:t>
      </w:r>
      <w:r w:rsidRPr="004B3FFC">
        <w:t>“</w:t>
      </w:r>
      <w:proofErr w:type="gramStart"/>
      <w:r w:rsidRPr="00FA0103">
        <w:rPr>
          <w:rFonts w:ascii="Courier New" w:hAnsi="Courier New" w:cs="Courier New"/>
        </w:rPr>
        <w:t>md:</w:t>
      </w:r>
      <w:proofErr w:type="gramEnd"/>
      <w:r w:rsidRPr="004B3FFC">
        <w:t>”&lt;type&gt;</w:t>
      </w:r>
      <w:r>
        <w:t xml:space="preserve"> </w:t>
      </w:r>
      <w:r w:rsidRPr="004B3FFC">
        <w:t>“</w:t>
      </w:r>
      <w:r w:rsidRPr="00FA0103">
        <w:rPr>
          <w:rFonts w:ascii="Courier New" w:hAnsi="Courier New" w:cs="Courier New"/>
        </w:rPr>
        <w:t>:</w:t>
      </w:r>
      <w:r w:rsidRPr="004B3FFC">
        <w:t>”&lt;scheme&gt;“</w:t>
      </w:r>
      <w:r w:rsidRPr="00FA0103">
        <w:rPr>
          <w:rFonts w:ascii="Courier New" w:hAnsi="Courier New" w:cs="Courier New"/>
        </w:rPr>
        <w:t>:</w:t>
      </w:r>
      <w:r w:rsidRPr="004B3FFC">
        <w:t>”&lt;SSID&gt;</w:t>
      </w:r>
      <w:r>
        <w:t xml:space="preserve">.  For example, </w:t>
      </w:r>
      <w:r w:rsidRPr="00C953A4">
        <w:rPr>
          <w:rFonts w:ascii="Courier New" w:hAnsi="Courier New" w:cs="Courier New"/>
          <w:sz w:val="20"/>
        </w:rPr>
        <w:t>md</w:t>
      </w:r>
      <w:proofErr w:type="gramStart"/>
      <w:r w:rsidRPr="00C953A4">
        <w:rPr>
          <w:rFonts w:ascii="Courier New" w:hAnsi="Courier New" w:cs="Courier New"/>
          <w:sz w:val="20"/>
        </w:rPr>
        <w:t>:experienceid:eidr</w:t>
      </w:r>
      <w:proofErr w:type="gramEnd"/>
      <w:r w:rsidRPr="00C953A4">
        <w:rPr>
          <w:rFonts w:ascii="Courier New" w:hAnsi="Courier New" w:cs="Courier New"/>
          <w:sz w:val="20"/>
        </w:rPr>
        <w:t>-s:5EE7-A973-819A-DC1A-CDD8-H</w:t>
      </w:r>
    </w:p>
    <w:p w:rsidR="00E172FE" w:rsidRDefault="00E172FE" w:rsidP="00E172FE">
      <w:pPr>
        <w:pStyle w:val="Body"/>
        <w:numPr>
          <w:ilvl w:val="0"/>
          <w:numId w:val="7"/>
        </w:numPr>
      </w:pPr>
      <w:r>
        <w:t>Opaqueness – IDs work as a string that you don’t need to examine for the Manifest to work correctly.   Note that IDs are case insensitive (case should be ignored when matching)</w:t>
      </w:r>
    </w:p>
    <w:p w:rsidR="00E172FE" w:rsidRDefault="00E172FE" w:rsidP="00E172FE">
      <w:pPr>
        <w:pStyle w:val="Body"/>
        <w:numPr>
          <w:ilvl w:val="0"/>
          <w:numId w:val="7"/>
        </w:numPr>
      </w:pPr>
      <w:r>
        <w:t>Uniqueness – Two IDs cannot have the same value (string). The use of &lt;type&gt; with values like ‘</w:t>
      </w:r>
      <w:proofErr w:type="spellStart"/>
      <w:r>
        <w:t>experienceid</w:t>
      </w:r>
      <w:proofErr w:type="spellEnd"/>
      <w:r>
        <w:t>’, ‘</w:t>
      </w:r>
      <w:proofErr w:type="spellStart"/>
      <w:r>
        <w:t>cid</w:t>
      </w:r>
      <w:proofErr w:type="spellEnd"/>
      <w:r>
        <w:t>’ and ‘</w:t>
      </w:r>
      <w:proofErr w:type="spellStart"/>
      <w:r>
        <w:t>audtrackid</w:t>
      </w:r>
      <w:proofErr w:type="spellEnd"/>
      <w:r>
        <w:t>’ ensures that different types of IDs are not confused.  The combination &lt;scheme&gt; and &lt;SSID&gt; ensured ID values are unique.</w:t>
      </w:r>
    </w:p>
    <w:p w:rsidR="00E172FE" w:rsidRPr="004B4130" w:rsidRDefault="00E172FE" w:rsidP="00E172FE">
      <w:pPr>
        <w:pStyle w:val="Body"/>
        <w:numPr>
          <w:ilvl w:val="0"/>
          <w:numId w:val="7"/>
        </w:numPr>
      </w:pPr>
      <w:r>
        <w:t>Base ID extraction – An ID of a given &lt;scheme&gt; can be extracted from the Manifest ID.  For example, if the scheme is “</w:t>
      </w:r>
      <w:proofErr w:type="spellStart"/>
      <w:r>
        <w:t>eidr</w:t>
      </w:r>
      <w:proofErr w:type="spellEnd"/>
      <w:r>
        <w:t xml:space="preserve">-s”, the EIDR ID follows the colon. </w:t>
      </w:r>
      <w:proofErr w:type="gramStart"/>
      <w:r w:rsidRPr="00C953A4">
        <w:rPr>
          <w:rFonts w:ascii="Courier New" w:hAnsi="Courier New" w:cs="Courier New"/>
          <w:sz w:val="20"/>
        </w:rPr>
        <w:t>md:</w:t>
      </w:r>
      <w:proofErr w:type="gramEnd"/>
      <w:r w:rsidRPr="00C953A4">
        <w:rPr>
          <w:rFonts w:ascii="Courier New" w:hAnsi="Courier New" w:cs="Courier New"/>
          <w:sz w:val="20"/>
        </w:rPr>
        <w:t>experienceid:eidr-s:</w:t>
      </w:r>
      <w:r w:rsidRPr="00A70965">
        <w:rPr>
          <w:rFonts w:ascii="Courier New" w:hAnsi="Courier New" w:cs="Courier New"/>
          <w:b/>
          <w:i/>
          <w:sz w:val="20"/>
        </w:rPr>
        <w:t>5EE7-A973-819A-DC1A-CDD8-H</w:t>
      </w:r>
      <w:r>
        <w:t>.  I</w:t>
      </w:r>
      <w:r w:rsidRPr="00C953A4">
        <w:t xml:space="preserve">f </w:t>
      </w:r>
      <w:proofErr w:type="spellStart"/>
      <w:r w:rsidRPr="00C953A4">
        <w:t>eidr</w:t>
      </w:r>
      <w:proofErr w:type="spellEnd"/>
      <w:r w:rsidRPr="00C953A4">
        <w:t>-x is used, the EIDR is between that colon and the next colon; for example,</w:t>
      </w:r>
      <w:r>
        <w:rPr>
          <w:rFonts w:ascii="Courier New" w:hAnsi="Courier New" w:cs="Courier New"/>
          <w:sz w:val="20"/>
        </w:rPr>
        <w:t xml:space="preserve"> </w:t>
      </w:r>
      <w:r w:rsidRPr="00C953A4">
        <w:rPr>
          <w:rFonts w:ascii="Courier New" w:hAnsi="Courier New" w:cs="Courier New"/>
          <w:sz w:val="20"/>
        </w:rPr>
        <w:t>md</w:t>
      </w:r>
      <w:proofErr w:type="gramStart"/>
      <w:r w:rsidRPr="00C953A4">
        <w:rPr>
          <w:rFonts w:ascii="Courier New" w:hAnsi="Courier New" w:cs="Courier New"/>
          <w:sz w:val="20"/>
        </w:rPr>
        <w:t>:experienceid:eidr</w:t>
      </w:r>
      <w:proofErr w:type="gramEnd"/>
      <w:r w:rsidRPr="00C953A4">
        <w:rPr>
          <w:rFonts w:ascii="Courier New" w:hAnsi="Courier New" w:cs="Courier New"/>
          <w:sz w:val="20"/>
        </w:rPr>
        <w:t>-</w:t>
      </w:r>
      <w:r>
        <w:rPr>
          <w:rFonts w:ascii="Courier New" w:hAnsi="Courier New" w:cs="Courier New"/>
          <w:sz w:val="20"/>
        </w:rPr>
        <w:t>s</w:t>
      </w:r>
      <w:r w:rsidRPr="00C953A4">
        <w:rPr>
          <w:rFonts w:ascii="Courier New" w:hAnsi="Courier New" w:cs="Courier New"/>
          <w:sz w:val="20"/>
        </w:rPr>
        <w:t>:</w:t>
      </w:r>
      <w:r w:rsidRPr="00A70965">
        <w:rPr>
          <w:rFonts w:ascii="Courier New" w:hAnsi="Courier New" w:cs="Courier New"/>
          <w:b/>
          <w:i/>
          <w:sz w:val="20"/>
        </w:rPr>
        <w:t>5EE7-A973-819A-DC1A-CDD8-H</w:t>
      </w:r>
      <w:r>
        <w:rPr>
          <w:rFonts w:ascii="Courier New" w:hAnsi="Courier New" w:cs="Courier New"/>
          <w:sz w:val="20"/>
        </w:rPr>
        <w:t>:trailer.1</w:t>
      </w:r>
      <w:r w:rsidRPr="00C953A4">
        <w:t>.</w:t>
      </w:r>
      <w:r>
        <w:t xml:space="preserve">  Other ID types can be similarly extracted.</w:t>
      </w:r>
    </w:p>
    <w:p w:rsidR="00E172FE" w:rsidRDefault="00E172FE" w:rsidP="00E172FE">
      <w:pPr>
        <w:pStyle w:val="Body"/>
      </w:pPr>
      <w:r>
        <w:t xml:space="preserve">Identifiers should use the “md:” form, preferably using EIDR.  Note that in almost all cases the Edit-level EIDR is used. When there is only one offering for a given title, use the EIDR-S form.  For example, </w:t>
      </w:r>
      <w:proofErr w:type="spellStart"/>
      <w:r>
        <w:t>md</w:t>
      </w:r>
      <w:proofErr w:type="gramStart"/>
      <w:r>
        <w:t>:cid:eidr</w:t>
      </w:r>
      <w:proofErr w:type="gramEnd"/>
      <w:r>
        <w:t>-s</w:t>
      </w:r>
      <w:proofErr w:type="spellEnd"/>
      <w:r>
        <w:t>:&lt;edit-level EIDR&gt;.  If you can’t use EIDR, use the ‘org:’ form; for example,</w:t>
      </w:r>
      <w:r w:rsidRPr="00C953A4">
        <w:rPr>
          <w:rFonts w:ascii="Courier New" w:hAnsi="Courier New" w:cs="Courier New"/>
          <w:sz w:val="20"/>
        </w:rPr>
        <w:t xml:space="preserve"> </w:t>
      </w:r>
      <w:r w:rsidRPr="008C1E73">
        <w:rPr>
          <w:rFonts w:ascii="Courier New" w:hAnsi="Courier New" w:cs="Courier New"/>
          <w:sz w:val="20"/>
        </w:rPr>
        <w:t>md</w:t>
      </w:r>
      <w:proofErr w:type="gramStart"/>
      <w:r w:rsidRPr="008C1E73">
        <w:rPr>
          <w:rFonts w:ascii="Courier New" w:hAnsi="Courier New" w:cs="Courier New"/>
          <w:sz w:val="20"/>
        </w:rPr>
        <w:t>:cid:org:craigsmovies.com:12345ABCDEF</w:t>
      </w:r>
      <w:proofErr w:type="gramEnd"/>
      <w:r w:rsidRPr="00C953A4">
        <w:t>.</w:t>
      </w:r>
    </w:p>
    <w:p w:rsidR="00E172FE" w:rsidRDefault="00E172FE" w:rsidP="00E172FE">
      <w:pPr>
        <w:pStyle w:val="Heading3"/>
      </w:pPr>
      <w:bookmarkStart w:id="77" w:name="_Toc442136549"/>
      <w:r>
        <w:t xml:space="preserve">Avails </w:t>
      </w:r>
      <w:proofErr w:type="spellStart"/>
      <w:r>
        <w:t>ProductID</w:t>
      </w:r>
      <w:proofErr w:type="spellEnd"/>
      <w:r>
        <w:t xml:space="preserve"> and ALID</w:t>
      </w:r>
      <w:bookmarkEnd w:id="77"/>
    </w:p>
    <w:p w:rsidR="00E172FE" w:rsidRPr="00671834" w:rsidRDefault="00E172FE" w:rsidP="00E172FE">
      <w:pPr>
        <w:pStyle w:val="Body"/>
      </w:pPr>
      <w:r>
        <w:t xml:space="preserve">This section addresses specifically how to populate </w:t>
      </w:r>
      <w:proofErr w:type="spellStart"/>
      <w:r>
        <w:t>ALIDExperienceMap</w:t>
      </w:r>
      <w:proofErr w:type="spellEnd"/>
      <w:r>
        <w:t>/ALID when using EMA Avails [AVAILS].</w:t>
      </w:r>
    </w:p>
    <w:p w:rsidR="00E172FE" w:rsidRDefault="00E172FE" w:rsidP="00E172FE">
      <w:pPr>
        <w:pStyle w:val="Body"/>
      </w:pPr>
      <w:r>
        <w:t xml:space="preserve">If the XML version of EMA </w:t>
      </w:r>
      <w:r w:rsidRPr="00671834">
        <w:t>Avails</w:t>
      </w:r>
      <w:r>
        <w:t xml:space="preserve"> is used, the /Avail/ALID is used in this field.  In this case, a match is a case-insensitive string match.</w:t>
      </w:r>
    </w:p>
    <w:p w:rsidR="00E172FE" w:rsidRDefault="00E172FE" w:rsidP="00E172FE">
      <w:pPr>
        <w:pStyle w:val="Body"/>
      </w:pPr>
      <w:r>
        <w:t xml:space="preserve">If the Excel version of Avails is used, the answer is more complicated as the ‘md:’ identifier form is not typically used in the spreadsheet.  The following table defines </w:t>
      </w:r>
    </w:p>
    <w:p w:rsidR="00E172FE" w:rsidRDefault="00E172FE" w:rsidP="00E172FE">
      <w:pPr>
        <w:pStyle w:val="Body"/>
      </w:pPr>
    </w:p>
    <w:tbl>
      <w:tblPr>
        <w:tblStyle w:val="TableGrid"/>
        <w:tblW w:w="9445" w:type="dxa"/>
        <w:tblLayout w:type="fixed"/>
        <w:tblLook w:val="04A0" w:firstRow="1" w:lastRow="0" w:firstColumn="1" w:lastColumn="0" w:noHBand="0" w:noVBand="1"/>
      </w:tblPr>
      <w:tblGrid>
        <w:gridCol w:w="1795"/>
        <w:gridCol w:w="2340"/>
        <w:gridCol w:w="2520"/>
        <w:gridCol w:w="2790"/>
      </w:tblGrid>
      <w:tr w:rsidR="00E172FE" w:rsidTr="00132D6F">
        <w:tc>
          <w:tcPr>
            <w:tcW w:w="1795" w:type="dxa"/>
          </w:tcPr>
          <w:p w:rsidR="00E172FE" w:rsidRPr="008F6893" w:rsidRDefault="00E172FE" w:rsidP="00132D6F">
            <w:pPr>
              <w:pStyle w:val="Body"/>
              <w:ind w:firstLine="0"/>
              <w:rPr>
                <w:rFonts w:ascii="Arial" w:hAnsi="Arial" w:cs="Arial"/>
                <w:b/>
                <w:sz w:val="18"/>
              </w:rPr>
            </w:pPr>
            <w:r>
              <w:rPr>
                <w:rFonts w:ascii="Arial" w:hAnsi="Arial" w:cs="Arial"/>
                <w:b/>
                <w:sz w:val="18"/>
              </w:rPr>
              <w:lastRenderedPageBreak/>
              <w:t>ID Source</w:t>
            </w:r>
          </w:p>
        </w:tc>
        <w:tc>
          <w:tcPr>
            <w:tcW w:w="2340" w:type="dxa"/>
          </w:tcPr>
          <w:p w:rsidR="00E172FE" w:rsidRPr="008F6893" w:rsidRDefault="00E172FE" w:rsidP="00132D6F">
            <w:pPr>
              <w:pStyle w:val="Body"/>
              <w:ind w:firstLine="0"/>
              <w:rPr>
                <w:rFonts w:ascii="Arial" w:hAnsi="Arial" w:cs="Arial"/>
                <w:b/>
                <w:sz w:val="18"/>
              </w:rPr>
            </w:pPr>
            <w:r w:rsidRPr="008F6893">
              <w:rPr>
                <w:rFonts w:ascii="Arial" w:hAnsi="Arial" w:cs="Arial"/>
                <w:b/>
                <w:sz w:val="18"/>
              </w:rPr>
              <w:t>Spreadsheet Column (example)</w:t>
            </w:r>
          </w:p>
        </w:tc>
        <w:tc>
          <w:tcPr>
            <w:tcW w:w="2520" w:type="dxa"/>
          </w:tcPr>
          <w:p w:rsidR="00E172FE" w:rsidRPr="008F6893" w:rsidRDefault="00E172FE" w:rsidP="00132D6F">
            <w:pPr>
              <w:pStyle w:val="Body"/>
              <w:ind w:firstLine="0"/>
              <w:rPr>
                <w:rFonts w:ascii="Arial" w:hAnsi="Arial" w:cs="Arial"/>
                <w:b/>
                <w:sz w:val="18"/>
              </w:rPr>
            </w:pPr>
            <w:r w:rsidRPr="008F6893">
              <w:rPr>
                <w:rFonts w:ascii="Arial" w:hAnsi="Arial" w:cs="Arial"/>
                <w:b/>
                <w:sz w:val="18"/>
              </w:rPr>
              <w:t>Manifest – per spec</w:t>
            </w:r>
            <w:r w:rsidRPr="008F6893">
              <w:rPr>
                <w:rFonts w:ascii="Arial" w:hAnsi="Arial" w:cs="Arial"/>
                <w:b/>
                <w:sz w:val="18"/>
              </w:rPr>
              <w:br/>
              <w:t>(example)</w:t>
            </w:r>
          </w:p>
        </w:tc>
        <w:tc>
          <w:tcPr>
            <w:tcW w:w="2790" w:type="dxa"/>
          </w:tcPr>
          <w:p w:rsidR="00E172FE" w:rsidRPr="008F6893" w:rsidRDefault="00E172FE" w:rsidP="00132D6F">
            <w:pPr>
              <w:pStyle w:val="Body"/>
              <w:ind w:firstLine="0"/>
              <w:rPr>
                <w:rFonts w:ascii="Arial" w:hAnsi="Arial" w:cs="Arial"/>
                <w:b/>
                <w:sz w:val="18"/>
              </w:rPr>
            </w:pPr>
            <w:r w:rsidRPr="008F6893">
              <w:rPr>
                <w:rFonts w:ascii="Arial" w:hAnsi="Arial" w:cs="Arial"/>
                <w:b/>
                <w:sz w:val="18"/>
              </w:rPr>
              <w:t>Manifest – acceptable</w:t>
            </w:r>
            <w:r w:rsidRPr="008F6893">
              <w:rPr>
                <w:rFonts w:ascii="Arial" w:hAnsi="Arial" w:cs="Arial"/>
                <w:b/>
                <w:sz w:val="18"/>
              </w:rPr>
              <w:br/>
              <w:t>(example)</w:t>
            </w:r>
          </w:p>
        </w:tc>
      </w:tr>
      <w:tr w:rsidR="00E172FE" w:rsidTr="00132D6F">
        <w:tc>
          <w:tcPr>
            <w:tcW w:w="1795" w:type="dxa"/>
          </w:tcPr>
          <w:p w:rsidR="00E172FE" w:rsidRPr="000365FD" w:rsidRDefault="00E172FE" w:rsidP="00132D6F">
            <w:pPr>
              <w:pStyle w:val="Body"/>
              <w:ind w:firstLine="0"/>
              <w:rPr>
                <w:rFonts w:ascii="Arial Narrow" w:hAnsi="Arial Narrow"/>
                <w:sz w:val="20"/>
              </w:rPr>
            </w:pPr>
            <w:r>
              <w:rPr>
                <w:rFonts w:ascii="Arial Narrow" w:hAnsi="Arial Narrow"/>
                <w:sz w:val="20"/>
              </w:rPr>
              <w:t>Cut/Edit level EIDR</w:t>
            </w:r>
          </w:p>
        </w:tc>
        <w:tc>
          <w:tcPr>
            <w:tcW w:w="2340" w:type="dxa"/>
          </w:tcPr>
          <w:p w:rsidR="00E172FE" w:rsidRPr="000365FD" w:rsidRDefault="00E172FE" w:rsidP="00132D6F">
            <w:pPr>
              <w:pStyle w:val="Body"/>
              <w:ind w:firstLine="0"/>
              <w:rPr>
                <w:rFonts w:ascii="Arial Narrow" w:hAnsi="Arial Narrow"/>
                <w:sz w:val="20"/>
              </w:rPr>
            </w:pPr>
            <w:proofErr w:type="spellStart"/>
            <w:r w:rsidRPr="000365FD">
              <w:rPr>
                <w:rFonts w:ascii="Arial Narrow" w:hAnsi="Arial Narrow"/>
                <w:sz w:val="20"/>
              </w:rPr>
              <w:t>ProductID</w:t>
            </w:r>
            <w:proofErr w:type="spellEnd"/>
            <w:r w:rsidRPr="000365FD">
              <w:rPr>
                <w:rFonts w:ascii="Arial Narrow" w:hAnsi="Arial Narrow"/>
                <w:sz w:val="20"/>
              </w:rPr>
              <w:t xml:space="preserve"> </w:t>
            </w:r>
            <w:r>
              <w:rPr>
                <w:rFonts w:ascii="Arial Narrow" w:hAnsi="Arial Narrow"/>
                <w:sz w:val="20"/>
              </w:rPr>
              <w:br/>
            </w:r>
            <w:r w:rsidRPr="000365FD">
              <w:rPr>
                <w:rFonts w:ascii="Arial Narrow" w:hAnsi="Arial Narrow"/>
                <w:sz w:val="20"/>
              </w:rPr>
              <w:t>(1489-49A2-3956-4B2D-FE16-5)</w:t>
            </w:r>
          </w:p>
        </w:tc>
        <w:tc>
          <w:tcPr>
            <w:tcW w:w="2520" w:type="dxa"/>
          </w:tcPr>
          <w:p w:rsidR="00E172FE" w:rsidRPr="000365FD" w:rsidRDefault="00E172FE" w:rsidP="00132D6F">
            <w:pPr>
              <w:pStyle w:val="Body"/>
              <w:ind w:firstLine="0"/>
              <w:rPr>
                <w:rFonts w:ascii="Arial Narrow" w:hAnsi="Arial Narrow"/>
                <w:sz w:val="20"/>
              </w:rPr>
            </w:pPr>
            <w:r>
              <w:rPr>
                <w:rFonts w:ascii="Arial Narrow" w:hAnsi="Arial Narrow"/>
                <w:sz w:val="20"/>
              </w:rPr>
              <w:t xml:space="preserve">EIDR-S form </w:t>
            </w:r>
            <w:r>
              <w:rPr>
                <w:rFonts w:ascii="Arial Narrow" w:hAnsi="Arial Narrow"/>
                <w:sz w:val="20"/>
              </w:rPr>
              <w:br/>
              <w:t>(md:alid:eidr-s:</w:t>
            </w:r>
            <w:r w:rsidRPr="000365FD">
              <w:rPr>
                <w:rFonts w:ascii="Arial Narrow" w:hAnsi="Arial Narrow"/>
                <w:sz w:val="20"/>
              </w:rPr>
              <w:t>1489-49A2-3956-4B2D-FE16-5</w:t>
            </w:r>
            <w:r>
              <w:rPr>
                <w:rFonts w:ascii="Arial Narrow" w:hAnsi="Arial Narrow"/>
                <w:sz w:val="20"/>
              </w:rPr>
              <w:t>)</w:t>
            </w:r>
          </w:p>
        </w:tc>
        <w:tc>
          <w:tcPr>
            <w:tcW w:w="2790" w:type="dxa"/>
          </w:tcPr>
          <w:p w:rsidR="00E172FE" w:rsidRPr="000365FD" w:rsidRDefault="00E172FE" w:rsidP="00132D6F">
            <w:pPr>
              <w:pStyle w:val="Body"/>
              <w:ind w:firstLine="0"/>
              <w:rPr>
                <w:rFonts w:ascii="Arial Narrow" w:hAnsi="Arial Narrow"/>
                <w:sz w:val="20"/>
              </w:rPr>
            </w:pPr>
            <w:r>
              <w:rPr>
                <w:rFonts w:ascii="Arial Narrow" w:hAnsi="Arial Narrow"/>
                <w:sz w:val="20"/>
              </w:rPr>
              <w:t xml:space="preserve">EIDR </w:t>
            </w:r>
            <w:r>
              <w:rPr>
                <w:rFonts w:ascii="Arial Narrow" w:hAnsi="Arial Narrow"/>
                <w:sz w:val="20"/>
              </w:rPr>
              <w:br/>
              <w:t>(</w:t>
            </w:r>
            <w:r w:rsidRPr="000365FD">
              <w:rPr>
                <w:rFonts w:ascii="Arial Narrow" w:hAnsi="Arial Narrow"/>
                <w:sz w:val="20"/>
              </w:rPr>
              <w:t>1489-49A2-3956-4B2D-FE16-5</w:t>
            </w:r>
            <w:r>
              <w:rPr>
                <w:rFonts w:ascii="Arial Narrow" w:hAnsi="Arial Narrow"/>
                <w:sz w:val="20"/>
              </w:rPr>
              <w:t>)</w:t>
            </w:r>
          </w:p>
        </w:tc>
      </w:tr>
      <w:tr w:rsidR="00E172FE" w:rsidTr="00132D6F">
        <w:tc>
          <w:tcPr>
            <w:tcW w:w="1795" w:type="dxa"/>
          </w:tcPr>
          <w:p w:rsidR="00E172FE" w:rsidRPr="000365FD" w:rsidRDefault="00E172FE" w:rsidP="00132D6F">
            <w:pPr>
              <w:pStyle w:val="Body"/>
              <w:ind w:firstLine="0"/>
              <w:rPr>
                <w:rFonts w:ascii="Arial Narrow" w:hAnsi="Arial Narrow"/>
                <w:sz w:val="20"/>
              </w:rPr>
            </w:pPr>
            <w:r>
              <w:rPr>
                <w:rFonts w:ascii="Arial Narrow" w:hAnsi="Arial Narrow"/>
                <w:sz w:val="20"/>
              </w:rPr>
              <w:t>Studio-proprietary alt cut ID</w:t>
            </w:r>
          </w:p>
        </w:tc>
        <w:tc>
          <w:tcPr>
            <w:tcW w:w="2340" w:type="dxa"/>
          </w:tcPr>
          <w:p w:rsidR="00E172FE" w:rsidRPr="000365FD" w:rsidRDefault="00E172FE" w:rsidP="00132D6F">
            <w:pPr>
              <w:pStyle w:val="Body"/>
              <w:ind w:firstLine="0"/>
              <w:rPr>
                <w:rFonts w:ascii="Arial Narrow" w:hAnsi="Arial Narrow"/>
                <w:sz w:val="20"/>
              </w:rPr>
            </w:pPr>
            <w:proofErr w:type="spellStart"/>
            <w:r>
              <w:rPr>
                <w:rFonts w:ascii="Arial Narrow" w:hAnsi="Arial Narrow"/>
                <w:sz w:val="20"/>
              </w:rPr>
              <w:t>AltID</w:t>
            </w:r>
            <w:proofErr w:type="spellEnd"/>
            <w:r>
              <w:rPr>
                <w:rFonts w:ascii="Arial Narrow" w:hAnsi="Arial Narrow"/>
                <w:sz w:val="20"/>
              </w:rPr>
              <w:br/>
              <w:t>(</w:t>
            </w:r>
            <w:r w:rsidRPr="008F6893">
              <w:rPr>
                <w:rFonts w:ascii="Arial Narrow" w:hAnsi="Arial Narrow"/>
                <w:sz w:val="20"/>
              </w:rPr>
              <w:t>VIEW_MT_2006</w:t>
            </w:r>
            <w:r>
              <w:rPr>
                <w:rFonts w:ascii="Arial Narrow" w:hAnsi="Arial Narrow"/>
                <w:sz w:val="20"/>
              </w:rPr>
              <w:t>)</w:t>
            </w:r>
          </w:p>
        </w:tc>
        <w:tc>
          <w:tcPr>
            <w:tcW w:w="2520" w:type="dxa"/>
          </w:tcPr>
          <w:p w:rsidR="00E172FE" w:rsidRPr="000365FD" w:rsidRDefault="00E172FE" w:rsidP="00132D6F">
            <w:pPr>
              <w:pStyle w:val="Body"/>
              <w:ind w:firstLine="0"/>
              <w:rPr>
                <w:rFonts w:ascii="Arial Narrow" w:hAnsi="Arial Narrow"/>
                <w:sz w:val="20"/>
              </w:rPr>
            </w:pPr>
            <w:r>
              <w:rPr>
                <w:rFonts w:ascii="Arial Narrow" w:hAnsi="Arial Narrow"/>
                <w:sz w:val="20"/>
              </w:rPr>
              <w:t>ORG form</w:t>
            </w:r>
            <w:r>
              <w:rPr>
                <w:rFonts w:ascii="Arial Narrow" w:hAnsi="Arial Narrow"/>
                <w:sz w:val="20"/>
              </w:rPr>
              <w:br/>
              <w:t>(md:alid:org:craigsmovies.com:</w:t>
            </w:r>
            <w:r w:rsidRPr="008F6893">
              <w:rPr>
                <w:rFonts w:ascii="Arial Narrow" w:hAnsi="Arial Narrow"/>
                <w:sz w:val="20"/>
              </w:rPr>
              <w:t>VIEW_MT_2006</w:t>
            </w:r>
            <w:r>
              <w:rPr>
                <w:rFonts w:ascii="Arial Narrow" w:hAnsi="Arial Narrow"/>
                <w:sz w:val="20"/>
              </w:rPr>
              <w:t>)</w:t>
            </w:r>
          </w:p>
        </w:tc>
        <w:tc>
          <w:tcPr>
            <w:tcW w:w="2790" w:type="dxa"/>
          </w:tcPr>
          <w:p w:rsidR="00E172FE" w:rsidRPr="000365FD" w:rsidRDefault="00E172FE" w:rsidP="00132D6F">
            <w:pPr>
              <w:pStyle w:val="Body"/>
              <w:ind w:firstLine="0"/>
              <w:rPr>
                <w:rFonts w:ascii="Arial Narrow" w:hAnsi="Arial Narrow"/>
                <w:sz w:val="20"/>
              </w:rPr>
            </w:pPr>
            <w:r>
              <w:rPr>
                <w:rFonts w:ascii="Arial Narrow" w:hAnsi="Arial Narrow"/>
                <w:sz w:val="20"/>
              </w:rPr>
              <w:t>craigsmovies.com:</w:t>
            </w:r>
            <w:r w:rsidRPr="008F6893">
              <w:rPr>
                <w:rFonts w:ascii="Arial Narrow" w:hAnsi="Arial Narrow"/>
                <w:sz w:val="20"/>
              </w:rPr>
              <w:t>VIEW_MT_2006</w:t>
            </w:r>
          </w:p>
        </w:tc>
      </w:tr>
    </w:tbl>
    <w:p w:rsidR="00E172FE" w:rsidRPr="00E172FE" w:rsidRDefault="00E172FE" w:rsidP="00E172FE">
      <w:pPr>
        <w:pStyle w:val="Body"/>
      </w:pPr>
    </w:p>
    <w:p w:rsidR="00F222AF" w:rsidRDefault="00F222AF" w:rsidP="00B60B97">
      <w:pPr>
        <w:pStyle w:val="Heading1"/>
      </w:pPr>
      <w:bookmarkStart w:id="78" w:name="_Toc442136550"/>
      <w:r>
        <w:lastRenderedPageBreak/>
        <w:t>Elements of a Product Definition</w:t>
      </w:r>
      <w:bookmarkEnd w:id="78"/>
    </w:p>
    <w:p w:rsidR="00B44882" w:rsidRDefault="00B44882" w:rsidP="00B44882">
      <w:pPr>
        <w:pStyle w:val="Body"/>
      </w:pPr>
      <w:r>
        <w:t xml:space="preserve">Product definition closely follows those practices defined for delivery from a Distribution Entity to a Retailer.  They differ only in the Inventory.  </w:t>
      </w:r>
    </w:p>
    <w:p w:rsidR="00B44882" w:rsidRDefault="00B44882" w:rsidP="00B44882">
      <w:pPr>
        <w:pStyle w:val="Heading2"/>
      </w:pPr>
      <w:bookmarkStart w:id="79" w:name="_Toc442136551"/>
      <w:r>
        <w:t>Manifest Definition, Objects other than Inventory</w:t>
      </w:r>
      <w:bookmarkEnd w:id="79"/>
    </w:p>
    <w:p w:rsidR="00B44882" w:rsidRDefault="00B44882" w:rsidP="00B44882">
      <w:pPr>
        <w:pStyle w:val="Body"/>
      </w:pPr>
      <w:r>
        <w:t xml:space="preserve">The definition for the Manifest follows the </w:t>
      </w:r>
      <w:r w:rsidRPr="00B44882">
        <w:rPr>
          <w:i/>
        </w:rPr>
        <w:t>Using Media Manifest, File Manifest and Avails for file Delivery (Best Practice)</w:t>
      </w:r>
      <w:r>
        <w:rPr>
          <w:i/>
        </w:rPr>
        <w:t xml:space="preserve">, </w:t>
      </w:r>
      <w:r>
        <w:t xml:space="preserve">[Delivery] with the exception of Inventory definition.  </w:t>
      </w:r>
    </w:p>
    <w:p w:rsidR="00B44882" w:rsidRPr="00B44882" w:rsidRDefault="00B44882" w:rsidP="00B44882">
      <w:pPr>
        <w:pStyle w:val="Body"/>
      </w:pPr>
      <w:r>
        <w:t>More constrained deliveries are most clearly defined (with examples) in the EMA Media Manifest Core [MMC], again with the exception of Inventory.</w:t>
      </w:r>
    </w:p>
    <w:p w:rsidR="00B44882" w:rsidRPr="00B44882" w:rsidRDefault="00B44882" w:rsidP="00B44882">
      <w:pPr>
        <w:pStyle w:val="Heading2"/>
      </w:pPr>
      <w:bookmarkStart w:id="80" w:name="_Toc442136552"/>
      <w:r>
        <w:t>Manifest Definition, Inventory</w:t>
      </w:r>
      <w:bookmarkEnd w:id="80"/>
    </w:p>
    <w:p w:rsidR="00DC3039" w:rsidRDefault="00F222AF" w:rsidP="00F222AF">
      <w:pPr>
        <w:pStyle w:val="Body"/>
      </w:pPr>
      <w:r>
        <w:t xml:space="preserve">The following table identifies the </w:t>
      </w:r>
      <w:r w:rsidR="00B60B97">
        <w:t xml:space="preserve">objects </w:t>
      </w:r>
      <w:r w:rsidR="008B43E1">
        <w:t xml:space="preserve">required in the Inventory and the detail in which they are described.  This table defines both an abstract specification object as well as a mezzanine file reference (e.g., IMF reference).  Note that in many cases, an abstract reference to a mezzanine file is sufficient to identify specific tracks.  For example, if an IMF contains a single Presentation, reference to the “French audio” track can be unambiguous.  In cases where the metadata reference is ambiguous, a more specific </w:t>
      </w:r>
      <w:r w:rsidR="00980356">
        <w:t xml:space="preserve">track </w:t>
      </w:r>
      <w:r w:rsidR="008B43E1">
        <w:t>reference is required.</w:t>
      </w:r>
    </w:p>
    <w:p w:rsidR="008B43E1" w:rsidRDefault="008B43E1" w:rsidP="00F222AF">
      <w:pPr>
        <w:pStyle w:val="Body"/>
      </w:pPr>
    </w:p>
    <w:tbl>
      <w:tblPr>
        <w:tblStyle w:val="TableGrid"/>
        <w:tblW w:w="0" w:type="auto"/>
        <w:tblLook w:val="04A0" w:firstRow="1" w:lastRow="0" w:firstColumn="1" w:lastColumn="0" w:noHBand="0" w:noVBand="1"/>
      </w:tblPr>
      <w:tblGrid>
        <w:gridCol w:w="317"/>
        <w:gridCol w:w="1388"/>
        <w:gridCol w:w="1620"/>
        <w:gridCol w:w="2430"/>
        <w:gridCol w:w="1795"/>
      </w:tblGrid>
      <w:tr w:rsidR="008B43E1" w:rsidTr="00B60B97">
        <w:tc>
          <w:tcPr>
            <w:tcW w:w="1705" w:type="dxa"/>
            <w:gridSpan w:val="2"/>
          </w:tcPr>
          <w:p w:rsidR="008B43E1" w:rsidRPr="00D91BA6" w:rsidRDefault="008B43E1" w:rsidP="00F222AF">
            <w:pPr>
              <w:pStyle w:val="Body"/>
              <w:ind w:firstLine="0"/>
              <w:rPr>
                <w:rFonts w:ascii="Arial" w:hAnsi="Arial" w:cs="Arial"/>
                <w:b/>
                <w:sz w:val="22"/>
                <w:szCs w:val="22"/>
              </w:rPr>
            </w:pPr>
          </w:p>
        </w:tc>
        <w:tc>
          <w:tcPr>
            <w:tcW w:w="1620" w:type="dxa"/>
          </w:tcPr>
          <w:p w:rsidR="008B43E1" w:rsidRPr="00D91BA6" w:rsidRDefault="008B43E1" w:rsidP="00F222AF">
            <w:pPr>
              <w:pStyle w:val="Body"/>
              <w:ind w:firstLine="0"/>
              <w:rPr>
                <w:rFonts w:ascii="Arial" w:hAnsi="Arial" w:cs="Arial"/>
                <w:b/>
                <w:sz w:val="22"/>
                <w:szCs w:val="22"/>
              </w:rPr>
            </w:pPr>
            <w:r>
              <w:rPr>
                <w:rFonts w:ascii="Arial" w:hAnsi="Arial" w:cs="Arial"/>
                <w:b/>
                <w:sz w:val="22"/>
                <w:szCs w:val="22"/>
              </w:rPr>
              <w:t>Manifest</w:t>
            </w:r>
          </w:p>
        </w:tc>
        <w:tc>
          <w:tcPr>
            <w:tcW w:w="2430" w:type="dxa"/>
          </w:tcPr>
          <w:p w:rsidR="008B43E1" w:rsidRPr="00D91BA6" w:rsidRDefault="008B43E1" w:rsidP="00F222AF">
            <w:pPr>
              <w:pStyle w:val="Body"/>
              <w:ind w:firstLine="0"/>
              <w:rPr>
                <w:rFonts w:ascii="Arial" w:hAnsi="Arial" w:cs="Arial"/>
                <w:b/>
                <w:sz w:val="22"/>
                <w:szCs w:val="22"/>
              </w:rPr>
            </w:pPr>
            <w:r>
              <w:rPr>
                <w:rFonts w:ascii="Arial" w:hAnsi="Arial" w:cs="Arial"/>
                <w:b/>
                <w:sz w:val="22"/>
                <w:szCs w:val="22"/>
              </w:rPr>
              <w:t>Abstract</w:t>
            </w:r>
          </w:p>
        </w:tc>
        <w:tc>
          <w:tcPr>
            <w:tcW w:w="1795" w:type="dxa"/>
          </w:tcPr>
          <w:p w:rsidR="008B43E1" w:rsidRPr="00D91BA6" w:rsidRDefault="008B43E1" w:rsidP="00B60B97">
            <w:pPr>
              <w:pStyle w:val="Body"/>
              <w:ind w:firstLine="0"/>
              <w:rPr>
                <w:rFonts w:ascii="Arial" w:hAnsi="Arial" w:cs="Arial"/>
                <w:b/>
                <w:sz w:val="22"/>
                <w:szCs w:val="22"/>
              </w:rPr>
            </w:pPr>
            <w:proofErr w:type="spellStart"/>
            <w:r w:rsidRPr="00D91BA6">
              <w:rPr>
                <w:rFonts w:ascii="Arial" w:hAnsi="Arial" w:cs="Arial"/>
                <w:b/>
                <w:sz w:val="22"/>
                <w:szCs w:val="22"/>
              </w:rPr>
              <w:t>Mezz</w:t>
            </w:r>
            <w:proofErr w:type="spellEnd"/>
            <w:r>
              <w:rPr>
                <w:rFonts w:ascii="Arial" w:hAnsi="Arial" w:cs="Arial"/>
                <w:b/>
                <w:sz w:val="22"/>
                <w:szCs w:val="22"/>
              </w:rPr>
              <w:t>.</w:t>
            </w:r>
            <w:r w:rsidRPr="00D91BA6">
              <w:rPr>
                <w:rFonts w:ascii="Arial" w:hAnsi="Arial" w:cs="Arial"/>
                <w:b/>
                <w:sz w:val="22"/>
                <w:szCs w:val="22"/>
              </w:rPr>
              <w:t xml:space="preserve"> </w:t>
            </w:r>
            <w:r>
              <w:rPr>
                <w:rFonts w:ascii="Arial" w:hAnsi="Arial" w:cs="Arial"/>
                <w:b/>
                <w:sz w:val="22"/>
                <w:szCs w:val="22"/>
              </w:rPr>
              <w:t>Ref</w:t>
            </w:r>
          </w:p>
        </w:tc>
      </w:tr>
      <w:tr w:rsidR="008B43E1" w:rsidTr="00132D6F">
        <w:tc>
          <w:tcPr>
            <w:tcW w:w="1705" w:type="dxa"/>
            <w:gridSpan w:val="2"/>
          </w:tcPr>
          <w:p w:rsidR="008B43E1" w:rsidRPr="00D91BA6" w:rsidRDefault="008B43E1" w:rsidP="004E483F">
            <w:pPr>
              <w:pStyle w:val="Body"/>
              <w:ind w:firstLine="0"/>
              <w:rPr>
                <w:rFonts w:ascii="Arial Narrow" w:hAnsi="Arial Narrow"/>
                <w:sz w:val="22"/>
                <w:szCs w:val="22"/>
              </w:rPr>
            </w:pPr>
            <w:r>
              <w:rPr>
                <w:rFonts w:ascii="Arial Narrow" w:hAnsi="Arial Narrow"/>
                <w:sz w:val="22"/>
                <w:szCs w:val="22"/>
              </w:rPr>
              <w:t>Track data</w:t>
            </w:r>
          </w:p>
        </w:tc>
        <w:tc>
          <w:tcPr>
            <w:tcW w:w="1620" w:type="dxa"/>
          </w:tcPr>
          <w:p w:rsidR="008B43E1" w:rsidRDefault="008B43E1" w:rsidP="00F222AF">
            <w:pPr>
              <w:pStyle w:val="Body"/>
              <w:ind w:firstLine="0"/>
              <w:rPr>
                <w:rFonts w:ascii="Arial Narrow" w:hAnsi="Arial Narrow"/>
                <w:sz w:val="22"/>
                <w:szCs w:val="22"/>
              </w:rPr>
            </w:pPr>
          </w:p>
        </w:tc>
        <w:tc>
          <w:tcPr>
            <w:tcW w:w="2430" w:type="dxa"/>
          </w:tcPr>
          <w:p w:rsidR="008B43E1" w:rsidRDefault="008B43E1" w:rsidP="00DC3039">
            <w:pPr>
              <w:pStyle w:val="Body"/>
              <w:ind w:firstLine="0"/>
              <w:rPr>
                <w:rFonts w:ascii="Arial Narrow" w:hAnsi="Arial Narrow"/>
                <w:sz w:val="22"/>
                <w:szCs w:val="22"/>
              </w:rPr>
            </w:pPr>
            <w:r>
              <w:rPr>
                <w:rFonts w:ascii="Arial Narrow" w:hAnsi="Arial Narrow"/>
                <w:sz w:val="22"/>
                <w:szCs w:val="22"/>
              </w:rPr>
              <w:t>One instance for each track</w:t>
            </w:r>
          </w:p>
        </w:tc>
        <w:tc>
          <w:tcPr>
            <w:tcW w:w="1795" w:type="dxa"/>
          </w:tcPr>
          <w:p w:rsidR="008B43E1" w:rsidRDefault="008B43E1" w:rsidP="00F222AF">
            <w:pPr>
              <w:pStyle w:val="Body"/>
              <w:ind w:firstLine="0"/>
              <w:rPr>
                <w:rFonts w:ascii="Arial Narrow" w:hAnsi="Arial Narrow"/>
                <w:sz w:val="22"/>
                <w:szCs w:val="22"/>
              </w:rPr>
            </w:pPr>
            <w:r>
              <w:rPr>
                <w:rFonts w:ascii="Arial Narrow" w:hAnsi="Arial Narrow"/>
                <w:sz w:val="22"/>
                <w:szCs w:val="22"/>
              </w:rPr>
              <w:t>(same)</w:t>
            </w:r>
          </w:p>
        </w:tc>
      </w:tr>
      <w:tr w:rsidR="008B43E1" w:rsidTr="00B60B97">
        <w:tc>
          <w:tcPr>
            <w:tcW w:w="317" w:type="dxa"/>
          </w:tcPr>
          <w:p w:rsidR="008B43E1" w:rsidRPr="00D91BA6" w:rsidRDefault="008B43E1" w:rsidP="004E483F">
            <w:pPr>
              <w:pStyle w:val="Body"/>
              <w:ind w:firstLine="0"/>
              <w:rPr>
                <w:rFonts w:ascii="Arial Narrow" w:hAnsi="Arial Narrow"/>
                <w:sz w:val="22"/>
                <w:szCs w:val="22"/>
              </w:rPr>
            </w:pPr>
          </w:p>
        </w:tc>
        <w:tc>
          <w:tcPr>
            <w:tcW w:w="1388" w:type="dxa"/>
          </w:tcPr>
          <w:p w:rsidR="008B43E1" w:rsidRPr="00D91BA6" w:rsidRDefault="008B43E1" w:rsidP="004E483F">
            <w:pPr>
              <w:pStyle w:val="Body"/>
              <w:ind w:firstLine="0"/>
              <w:rPr>
                <w:rFonts w:ascii="Arial Narrow" w:hAnsi="Arial Narrow"/>
                <w:sz w:val="22"/>
                <w:szCs w:val="22"/>
              </w:rPr>
            </w:pPr>
            <w:r w:rsidRPr="00D91BA6">
              <w:rPr>
                <w:rFonts w:ascii="Arial Narrow" w:hAnsi="Arial Narrow"/>
                <w:sz w:val="22"/>
                <w:szCs w:val="22"/>
              </w:rPr>
              <w:t>Video track</w:t>
            </w:r>
          </w:p>
        </w:tc>
        <w:tc>
          <w:tcPr>
            <w:tcW w:w="1620" w:type="dxa"/>
          </w:tcPr>
          <w:p w:rsidR="008B43E1" w:rsidRDefault="008B43E1" w:rsidP="00F222AF">
            <w:pPr>
              <w:pStyle w:val="Body"/>
              <w:ind w:firstLine="0"/>
              <w:rPr>
                <w:rFonts w:ascii="Arial Narrow" w:hAnsi="Arial Narrow"/>
                <w:sz w:val="22"/>
                <w:szCs w:val="22"/>
              </w:rPr>
            </w:pPr>
            <w:r>
              <w:rPr>
                <w:rFonts w:ascii="Arial Narrow" w:hAnsi="Arial Narrow"/>
                <w:sz w:val="22"/>
                <w:szCs w:val="22"/>
              </w:rPr>
              <w:t>Inventory/Video</w:t>
            </w:r>
          </w:p>
        </w:tc>
        <w:tc>
          <w:tcPr>
            <w:tcW w:w="2430" w:type="dxa"/>
          </w:tcPr>
          <w:p w:rsidR="008B43E1" w:rsidRPr="00D91BA6" w:rsidRDefault="008B43E1" w:rsidP="00DC3039">
            <w:pPr>
              <w:pStyle w:val="Body"/>
              <w:ind w:firstLine="0"/>
              <w:rPr>
                <w:rFonts w:ascii="Arial Narrow" w:hAnsi="Arial Narrow"/>
                <w:sz w:val="22"/>
                <w:szCs w:val="22"/>
              </w:rPr>
            </w:pPr>
            <w:r>
              <w:rPr>
                <w:rFonts w:ascii="Arial Narrow" w:hAnsi="Arial Narrow"/>
                <w:sz w:val="22"/>
                <w:szCs w:val="22"/>
              </w:rPr>
              <w:t>Instance with defining metadata (e.g., language if language-specific)</w:t>
            </w:r>
          </w:p>
        </w:tc>
        <w:tc>
          <w:tcPr>
            <w:tcW w:w="1795"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Required metadata plus media reference</w:t>
            </w:r>
          </w:p>
        </w:tc>
      </w:tr>
      <w:tr w:rsidR="008B43E1" w:rsidTr="00B60B97">
        <w:tc>
          <w:tcPr>
            <w:tcW w:w="317" w:type="dxa"/>
          </w:tcPr>
          <w:p w:rsidR="008B43E1" w:rsidRPr="00D91BA6" w:rsidRDefault="008B43E1" w:rsidP="004E483F">
            <w:pPr>
              <w:pStyle w:val="Body"/>
              <w:ind w:firstLine="0"/>
              <w:rPr>
                <w:rFonts w:ascii="Arial Narrow" w:hAnsi="Arial Narrow"/>
                <w:sz w:val="22"/>
                <w:szCs w:val="22"/>
              </w:rPr>
            </w:pPr>
          </w:p>
        </w:tc>
        <w:tc>
          <w:tcPr>
            <w:tcW w:w="1388" w:type="dxa"/>
          </w:tcPr>
          <w:p w:rsidR="008B43E1" w:rsidRPr="00D91BA6" w:rsidRDefault="008B43E1" w:rsidP="004E483F">
            <w:pPr>
              <w:pStyle w:val="Body"/>
              <w:ind w:firstLine="0"/>
              <w:rPr>
                <w:rFonts w:ascii="Arial Narrow" w:hAnsi="Arial Narrow"/>
                <w:sz w:val="22"/>
                <w:szCs w:val="22"/>
              </w:rPr>
            </w:pPr>
            <w:r w:rsidRPr="00D91BA6">
              <w:rPr>
                <w:rFonts w:ascii="Arial Narrow" w:hAnsi="Arial Narrow"/>
                <w:sz w:val="22"/>
                <w:szCs w:val="22"/>
              </w:rPr>
              <w:t>Audio Track</w:t>
            </w:r>
          </w:p>
        </w:tc>
        <w:tc>
          <w:tcPr>
            <w:tcW w:w="162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Inventory/Audio</w:t>
            </w:r>
          </w:p>
        </w:tc>
        <w:tc>
          <w:tcPr>
            <w:tcW w:w="2430" w:type="dxa"/>
          </w:tcPr>
          <w:p w:rsidR="008B43E1" w:rsidRPr="00D91BA6" w:rsidRDefault="008B43E1" w:rsidP="00DC3039">
            <w:pPr>
              <w:pStyle w:val="Body"/>
              <w:ind w:firstLine="0"/>
              <w:rPr>
                <w:rFonts w:ascii="Arial Narrow" w:hAnsi="Arial Narrow"/>
                <w:sz w:val="22"/>
                <w:szCs w:val="22"/>
              </w:rPr>
            </w:pPr>
            <w:r>
              <w:rPr>
                <w:rFonts w:ascii="Arial Narrow" w:hAnsi="Arial Narrow"/>
                <w:sz w:val="22"/>
                <w:szCs w:val="22"/>
              </w:rPr>
              <w:t>Instance with defining metadata (e.g., language, codec)</w:t>
            </w:r>
          </w:p>
        </w:tc>
        <w:tc>
          <w:tcPr>
            <w:tcW w:w="1795"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Required metadata plus media reference</w:t>
            </w:r>
          </w:p>
        </w:tc>
      </w:tr>
      <w:tr w:rsidR="008B43E1" w:rsidTr="00B60B97">
        <w:tc>
          <w:tcPr>
            <w:tcW w:w="317" w:type="dxa"/>
          </w:tcPr>
          <w:p w:rsidR="008B43E1" w:rsidRPr="00D91BA6" w:rsidRDefault="008B43E1" w:rsidP="004E483F">
            <w:pPr>
              <w:pStyle w:val="Body"/>
              <w:ind w:firstLine="0"/>
              <w:rPr>
                <w:rFonts w:ascii="Arial Narrow" w:hAnsi="Arial Narrow"/>
                <w:sz w:val="22"/>
                <w:szCs w:val="22"/>
              </w:rPr>
            </w:pPr>
          </w:p>
        </w:tc>
        <w:tc>
          <w:tcPr>
            <w:tcW w:w="1388" w:type="dxa"/>
          </w:tcPr>
          <w:p w:rsidR="008B43E1" w:rsidRPr="00D91BA6" w:rsidRDefault="008B43E1" w:rsidP="004E483F">
            <w:pPr>
              <w:pStyle w:val="Body"/>
              <w:ind w:firstLine="0"/>
              <w:rPr>
                <w:rFonts w:ascii="Arial Narrow" w:hAnsi="Arial Narrow"/>
                <w:sz w:val="22"/>
                <w:szCs w:val="22"/>
              </w:rPr>
            </w:pPr>
            <w:r w:rsidRPr="00D91BA6">
              <w:rPr>
                <w:rFonts w:ascii="Arial Narrow" w:hAnsi="Arial Narrow"/>
                <w:sz w:val="22"/>
                <w:szCs w:val="22"/>
              </w:rPr>
              <w:t>Subtitle Track</w:t>
            </w:r>
          </w:p>
        </w:tc>
        <w:tc>
          <w:tcPr>
            <w:tcW w:w="162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Inventory/Subtitle</w:t>
            </w:r>
          </w:p>
        </w:tc>
        <w:tc>
          <w:tcPr>
            <w:tcW w:w="243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Instance with defining metadata (e.g., language, type)</w:t>
            </w:r>
          </w:p>
        </w:tc>
        <w:tc>
          <w:tcPr>
            <w:tcW w:w="1795"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Required metadata plus media reference</w:t>
            </w:r>
          </w:p>
        </w:tc>
      </w:tr>
      <w:tr w:rsidR="008B43E1" w:rsidTr="00132D6F">
        <w:tc>
          <w:tcPr>
            <w:tcW w:w="1705" w:type="dxa"/>
            <w:gridSpan w:val="2"/>
          </w:tcPr>
          <w:p w:rsidR="008B43E1" w:rsidRPr="00D91BA6" w:rsidRDefault="008B43E1" w:rsidP="004E483F">
            <w:pPr>
              <w:pStyle w:val="Body"/>
              <w:ind w:firstLine="0"/>
              <w:rPr>
                <w:rFonts w:ascii="Arial Narrow" w:hAnsi="Arial Narrow"/>
                <w:sz w:val="22"/>
                <w:szCs w:val="22"/>
              </w:rPr>
            </w:pPr>
            <w:r>
              <w:rPr>
                <w:rFonts w:ascii="Arial Narrow" w:hAnsi="Arial Narrow"/>
                <w:sz w:val="22"/>
                <w:szCs w:val="22"/>
              </w:rPr>
              <w:t>Metadata Image</w:t>
            </w:r>
          </w:p>
        </w:tc>
        <w:tc>
          <w:tcPr>
            <w:tcW w:w="1620" w:type="dxa"/>
          </w:tcPr>
          <w:p w:rsidR="008B43E1" w:rsidRPr="00D91BA6" w:rsidRDefault="008B43E1" w:rsidP="00F222AF">
            <w:pPr>
              <w:pStyle w:val="Body"/>
              <w:ind w:firstLine="0"/>
              <w:rPr>
                <w:rFonts w:ascii="Arial Narrow" w:hAnsi="Arial Narrow"/>
                <w:sz w:val="22"/>
                <w:szCs w:val="22"/>
              </w:rPr>
            </w:pPr>
          </w:p>
        </w:tc>
        <w:tc>
          <w:tcPr>
            <w:tcW w:w="2430" w:type="dxa"/>
          </w:tcPr>
          <w:p w:rsidR="008B43E1" w:rsidRPr="00D91BA6" w:rsidRDefault="008B43E1" w:rsidP="00DC3039">
            <w:pPr>
              <w:pStyle w:val="Body"/>
              <w:ind w:firstLine="0"/>
              <w:rPr>
                <w:rFonts w:ascii="Arial Narrow" w:hAnsi="Arial Narrow"/>
                <w:sz w:val="22"/>
                <w:szCs w:val="22"/>
              </w:rPr>
            </w:pPr>
            <w:r>
              <w:rPr>
                <w:rFonts w:ascii="Arial Narrow" w:hAnsi="Arial Narrow"/>
                <w:sz w:val="22"/>
                <w:szCs w:val="22"/>
              </w:rPr>
              <w:t xml:space="preserve">Referenced from metadata by </w:t>
            </w:r>
            <w:proofErr w:type="spellStart"/>
            <w:r>
              <w:rPr>
                <w:rFonts w:ascii="Arial Narrow" w:hAnsi="Arial Narrow"/>
                <w:sz w:val="22"/>
                <w:szCs w:val="22"/>
              </w:rPr>
              <w:t>ImageID</w:t>
            </w:r>
            <w:proofErr w:type="spellEnd"/>
            <w:r>
              <w:rPr>
                <w:rFonts w:ascii="Arial Narrow" w:hAnsi="Arial Narrow"/>
                <w:sz w:val="22"/>
                <w:szCs w:val="22"/>
              </w:rPr>
              <w:t xml:space="preserve">. </w:t>
            </w:r>
          </w:p>
        </w:tc>
        <w:tc>
          <w:tcPr>
            <w:tcW w:w="1795" w:type="dxa"/>
          </w:tcPr>
          <w:p w:rsidR="008B43E1" w:rsidRPr="00D91BA6" w:rsidRDefault="008B43E1" w:rsidP="00F222AF">
            <w:pPr>
              <w:pStyle w:val="Body"/>
              <w:ind w:firstLine="0"/>
              <w:rPr>
                <w:rFonts w:ascii="Arial Narrow" w:hAnsi="Arial Narrow"/>
                <w:sz w:val="22"/>
                <w:szCs w:val="22"/>
              </w:rPr>
            </w:pPr>
          </w:p>
        </w:tc>
      </w:tr>
      <w:tr w:rsidR="008B43E1" w:rsidTr="00B60B97">
        <w:tc>
          <w:tcPr>
            <w:tcW w:w="317" w:type="dxa"/>
          </w:tcPr>
          <w:p w:rsidR="008B43E1" w:rsidRPr="00D91BA6" w:rsidRDefault="008B43E1" w:rsidP="004E483F">
            <w:pPr>
              <w:pStyle w:val="Body"/>
              <w:ind w:firstLine="0"/>
              <w:rPr>
                <w:rFonts w:ascii="Arial Narrow" w:hAnsi="Arial Narrow"/>
                <w:sz w:val="22"/>
                <w:szCs w:val="22"/>
              </w:rPr>
            </w:pPr>
          </w:p>
        </w:tc>
        <w:tc>
          <w:tcPr>
            <w:tcW w:w="1388" w:type="dxa"/>
          </w:tcPr>
          <w:p w:rsidR="008B43E1" w:rsidRDefault="008B43E1" w:rsidP="004E483F">
            <w:pPr>
              <w:pStyle w:val="Body"/>
              <w:ind w:firstLine="0"/>
              <w:rPr>
                <w:rFonts w:ascii="Arial Narrow" w:hAnsi="Arial Narrow"/>
                <w:sz w:val="22"/>
                <w:szCs w:val="22"/>
              </w:rPr>
            </w:pPr>
            <w:r>
              <w:rPr>
                <w:rFonts w:ascii="Arial Narrow" w:hAnsi="Arial Narrow"/>
                <w:sz w:val="22"/>
                <w:szCs w:val="22"/>
              </w:rPr>
              <w:t>Metadata Image</w:t>
            </w:r>
          </w:p>
        </w:tc>
        <w:tc>
          <w:tcPr>
            <w:tcW w:w="162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Inventor/Image</w:t>
            </w:r>
          </w:p>
        </w:tc>
        <w:tc>
          <w:tcPr>
            <w:tcW w:w="243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Image resolution (width and height)</w:t>
            </w:r>
          </w:p>
        </w:tc>
        <w:tc>
          <w:tcPr>
            <w:tcW w:w="1795"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Required metadata plus media reference</w:t>
            </w:r>
          </w:p>
        </w:tc>
      </w:tr>
      <w:tr w:rsidR="008B43E1" w:rsidTr="00132D6F">
        <w:tc>
          <w:tcPr>
            <w:tcW w:w="1705" w:type="dxa"/>
            <w:gridSpan w:val="2"/>
          </w:tcPr>
          <w:p w:rsidR="008B43E1" w:rsidRDefault="008B43E1" w:rsidP="004E483F">
            <w:pPr>
              <w:pStyle w:val="Body"/>
              <w:ind w:firstLine="0"/>
              <w:rPr>
                <w:rFonts w:ascii="Arial Narrow" w:hAnsi="Arial Narrow"/>
                <w:sz w:val="22"/>
                <w:szCs w:val="22"/>
              </w:rPr>
            </w:pPr>
            <w:r>
              <w:rPr>
                <w:rFonts w:ascii="Arial Narrow" w:hAnsi="Arial Narrow"/>
                <w:sz w:val="22"/>
                <w:szCs w:val="22"/>
              </w:rPr>
              <w:t>Gallery</w:t>
            </w:r>
          </w:p>
        </w:tc>
        <w:tc>
          <w:tcPr>
            <w:tcW w:w="1620" w:type="dxa"/>
          </w:tcPr>
          <w:p w:rsidR="008B43E1" w:rsidRDefault="008B43E1" w:rsidP="00F222AF">
            <w:pPr>
              <w:pStyle w:val="Body"/>
              <w:ind w:firstLine="0"/>
              <w:rPr>
                <w:rFonts w:ascii="Arial Narrow" w:hAnsi="Arial Narrow"/>
                <w:sz w:val="22"/>
                <w:szCs w:val="22"/>
              </w:rPr>
            </w:pPr>
            <w:r>
              <w:rPr>
                <w:rFonts w:ascii="Arial Narrow" w:hAnsi="Arial Narrow"/>
                <w:sz w:val="22"/>
                <w:szCs w:val="22"/>
              </w:rPr>
              <w:t>Picture Group</w:t>
            </w:r>
          </w:p>
        </w:tc>
        <w:tc>
          <w:tcPr>
            <w:tcW w:w="243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Picture Group with an instance for each image</w:t>
            </w:r>
          </w:p>
        </w:tc>
        <w:tc>
          <w:tcPr>
            <w:tcW w:w="1795"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Required metadata plus media reference</w:t>
            </w:r>
          </w:p>
        </w:tc>
      </w:tr>
      <w:tr w:rsidR="008B43E1" w:rsidTr="00B60B97">
        <w:tc>
          <w:tcPr>
            <w:tcW w:w="317" w:type="dxa"/>
          </w:tcPr>
          <w:p w:rsidR="008B43E1" w:rsidRPr="00D91BA6" w:rsidRDefault="008B43E1" w:rsidP="004E483F">
            <w:pPr>
              <w:pStyle w:val="Body"/>
              <w:ind w:firstLine="0"/>
              <w:rPr>
                <w:rFonts w:ascii="Arial Narrow" w:hAnsi="Arial Narrow"/>
                <w:sz w:val="22"/>
                <w:szCs w:val="22"/>
              </w:rPr>
            </w:pPr>
          </w:p>
        </w:tc>
        <w:tc>
          <w:tcPr>
            <w:tcW w:w="1388" w:type="dxa"/>
          </w:tcPr>
          <w:p w:rsidR="008B43E1" w:rsidRDefault="008B43E1" w:rsidP="004E483F">
            <w:pPr>
              <w:pStyle w:val="Body"/>
              <w:ind w:firstLine="0"/>
              <w:rPr>
                <w:rFonts w:ascii="Arial Narrow" w:hAnsi="Arial Narrow"/>
                <w:sz w:val="22"/>
                <w:szCs w:val="22"/>
              </w:rPr>
            </w:pPr>
            <w:r>
              <w:rPr>
                <w:rFonts w:ascii="Arial Narrow" w:hAnsi="Arial Narrow"/>
                <w:sz w:val="22"/>
                <w:szCs w:val="22"/>
              </w:rPr>
              <w:t>Gallery Image</w:t>
            </w:r>
          </w:p>
        </w:tc>
        <w:tc>
          <w:tcPr>
            <w:tcW w:w="1620" w:type="dxa"/>
          </w:tcPr>
          <w:p w:rsidR="008B43E1" w:rsidRDefault="008B43E1" w:rsidP="00F222AF">
            <w:pPr>
              <w:pStyle w:val="Body"/>
              <w:ind w:firstLine="0"/>
              <w:rPr>
                <w:rFonts w:ascii="Arial Narrow" w:hAnsi="Arial Narrow"/>
                <w:sz w:val="22"/>
                <w:szCs w:val="22"/>
              </w:rPr>
            </w:pPr>
            <w:r>
              <w:rPr>
                <w:rFonts w:ascii="Arial Narrow" w:hAnsi="Arial Narrow"/>
                <w:sz w:val="22"/>
                <w:szCs w:val="22"/>
              </w:rPr>
              <w:t>Inventory/Image</w:t>
            </w:r>
          </w:p>
        </w:tc>
        <w:tc>
          <w:tcPr>
            <w:tcW w:w="2430"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Image resolution (width and height)</w:t>
            </w:r>
          </w:p>
        </w:tc>
        <w:tc>
          <w:tcPr>
            <w:tcW w:w="1795" w:type="dxa"/>
          </w:tcPr>
          <w:p w:rsidR="008B43E1" w:rsidRPr="00D91BA6" w:rsidRDefault="008B43E1" w:rsidP="00F222AF">
            <w:pPr>
              <w:pStyle w:val="Body"/>
              <w:ind w:firstLine="0"/>
              <w:rPr>
                <w:rFonts w:ascii="Arial Narrow" w:hAnsi="Arial Narrow"/>
                <w:sz w:val="22"/>
                <w:szCs w:val="22"/>
              </w:rPr>
            </w:pPr>
            <w:r>
              <w:rPr>
                <w:rFonts w:ascii="Arial Narrow" w:hAnsi="Arial Narrow"/>
                <w:sz w:val="22"/>
                <w:szCs w:val="22"/>
              </w:rPr>
              <w:t>Required metadata plus media reference</w:t>
            </w:r>
          </w:p>
        </w:tc>
      </w:tr>
    </w:tbl>
    <w:p w:rsidR="00F222AF" w:rsidRDefault="00980356" w:rsidP="00980356">
      <w:pPr>
        <w:pStyle w:val="Heading1"/>
      </w:pPr>
      <w:bookmarkStart w:id="81" w:name="_Toc442136553"/>
      <w:r>
        <w:lastRenderedPageBreak/>
        <w:t>Mezannine File References</w:t>
      </w:r>
      <w:bookmarkEnd w:id="81"/>
    </w:p>
    <w:p w:rsidR="00980356" w:rsidRDefault="00980356" w:rsidP="00980356">
      <w:pPr>
        <w:pStyle w:val="Body"/>
      </w:pPr>
      <w:r>
        <w:t>This section defines references to specific file types.</w:t>
      </w:r>
    </w:p>
    <w:p w:rsidR="002F3D1D" w:rsidRDefault="002F3D1D" w:rsidP="00980356">
      <w:pPr>
        <w:pStyle w:val="Heading2"/>
      </w:pPr>
      <w:bookmarkStart w:id="82" w:name="_Toc442136554"/>
      <w:r>
        <w:t>Abstract References</w:t>
      </w:r>
      <w:bookmarkEnd w:id="82"/>
    </w:p>
    <w:p w:rsidR="002F3D1D" w:rsidRDefault="002F3D1D" w:rsidP="002F3D1D">
      <w:pPr>
        <w:pStyle w:val="Body"/>
      </w:pPr>
      <w:r>
        <w:t>Individual tracks in a mezzanine file can be referenced with metadata as long as there is no ambiguity.  For example, if a mezzanine can have at most one audio track of a given language, audio tracks can be referenced by language.  However, if two or more tracks with the same language can exist, addition metadata is required to distinguish them.</w:t>
      </w:r>
      <w:r w:rsidR="00C5552B">
        <w:t xml:space="preserve">  We call this an </w:t>
      </w:r>
      <w:r w:rsidR="00C5552B" w:rsidRPr="00C5552B">
        <w:rPr>
          <w:i/>
        </w:rPr>
        <w:t>ambiguous reference</w:t>
      </w:r>
      <w:r w:rsidR="00C5552B">
        <w:t>.</w:t>
      </w:r>
      <w:r>
        <w:t xml:space="preserve">  If metadata cannot be unambiguous, then a formal reference, such as found in following sections, is required.</w:t>
      </w:r>
    </w:p>
    <w:p w:rsidR="002F3D1D" w:rsidRDefault="002F3D1D" w:rsidP="002F3D1D">
      <w:pPr>
        <w:pStyle w:val="Body"/>
      </w:pPr>
      <w:r>
        <w:t>Whether or not ambiguity exists depends on the constraints of the use cases.</w:t>
      </w:r>
      <w:r w:rsidR="00C5552B">
        <w:t xml:space="preserve">  This section describes metadata most useful for avoiding ambiguous references.</w:t>
      </w:r>
    </w:p>
    <w:p w:rsidR="00C5552B" w:rsidRDefault="00E17006" w:rsidP="00C5552B">
      <w:pPr>
        <w:pStyle w:val="Heading3"/>
      </w:pPr>
      <w:bookmarkStart w:id="83" w:name="_Toc442136555"/>
      <w:r>
        <w:t>Common Metadata Types used for Abstract</w:t>
      </w:r>
      <w:r w:rsidR="00C5552B">
        <w:t xml:space="preserve"> Reference</w:t>
      </w:r>
      <w:bookmarkEnd w:id="83"/>
    </w:p>
    <w:p w:rsidR="00C5552B" w:rsidRPr="00C5552B" w:rsidRDefault="00C5552B" w:rsidP="00C5552B">
      <w:pPr>
        <w:pStyle w:val="Body"/>
      </w:pPr>
      <w:r>
        <w:t>The most common metadata objects for avoiding ambiguity across track types are the following:</w:t>
      </w:r>
    </w:p>
    <w:p w:rsidR="00C5552B" w:rsidRDefault="00C5552B" w:rsidP="00C5552B">
      <w:pPr>
        <w:pStyle w:val="Body"/>
        <w:numPr>
          <w:ilvl w:val="0"/>
          <w:numId w:val="29"/>
        </w:numPr>
      </w:pPr>
      <w:r>
        <w:t>Identifier – An precise identifier (e.g., an EIDR manifestation identifier)</w:t>
      </w:r>
    </w:p>
    <w:p w:rsidR="00C5552B" w:rsidRDefault="00C5552B" w:rsidP="00C5552B">
      <w:pPr>
        <w:pStyle w:val="Body"/>
        <w:numPr>
          <w:ilvl w:val="0"/>
          <w:numId w:val="29"/>
        </w:numPr>
      </w:pPr>
      <w:r>
        <w:t>Type/</w:t>
      </w:r>
      <w:proofErr w:type="spellStart"/>
      <w:r>
        <w:t>SubType</w:t>
      </w:r>
      <w:proofErr w:type="spellEnd"/>
      <w:r>
        <w:t xml:space="preserve"> – The type of track (e.g., ‘SDH’ for a subtitle)</w:t>
      </w:r>
    </w:p>
    <w:p w:rsidR="00C5552B" w:rsidRDefault="00C5552B" w:rsidP="00C5552B">
      <w:pPr>
        <w:pStyle w:val="Body"/>
        <w:numPr>
          <w:ilvl w:val="0"/>
          <w:numId w:val="29"/>
        </w:numPr>
      </w:pPr>
      <w:r>
        <w:t>Language – The language associated with the track.</w:t>
      </w:r>
    </w:p>
    <w:p w:rsidR="000A3DAA" w:rsidRDefault="000A3DAA" w:rsidP="000A3DAA">
      <w:pPr>
        <w:pStyle w:val="Heading4"/>
      </w:pPr>
      <w:r>
        <w:t>Identifiers</w:t>
      </w:r>
    </w:p>
    <w:p w:rsidR="001E249E" w:rsidRDefault="001E249E" w:rsidP="00C5552B">
      <w:pPr>
        <w:pStyle w:val="Body"/>
      </w:pPr>
      <w:r>
        <w:t xml:space="preserve">Identifiers are encoded in the </w:t>
      </w:r>
      <w:proofErr w:type="spellStart"/>
      <w:r>
        <w:t>TrackIdentifier</w:t>
      </w:r>
      <w:proofErr w:type="spellEnd"/>
      <w:r>
        <w:t xml:space="preserve"> element that exists within Inventory/Audio, Inventory/Video, Inventory/Subtitle, Inventory/Image and Inventory/Interactive</w:t>
      </w:r>
      <w:r w:rsidR="00A81E98">
        <w:t xml:space="preserve">. </w:t>
      </w:r>
    </w:p>
    <w:p w:rsidR="00C5552B" w:rsidRDefault="00E04558" w:rsidP="00C5552B">
      <w:pPr>
        <w:pStyle w:val="Body"/>
      </w:pPr>
      <w:r>
        <w:t xml:space="preserve">Identifier is usually sufficient on its own.  For example, an EIDR manifestation is defined with sufficient metadata to avoid ambiguity.  EIDR manifestation guidelines provide valuable guidance for disambiguation.  </w:t>
      </w:r>
      <w:r w:rsidRPr="00E04558">
        <w:rPr>
          <w:highlight w:val="yellow"/>
        </w:rPr>
        <w:t>[Ref???]</w:t>
      </w:r>
    </w:p>
    <w:p w:rsidR="00E04558" w:rsidRDefault="00E04558" w:rsidP="00C5552B">
      <w:pPr>
        <w:pStyle w:val="Body"/>
      </w:pPr>
      <w:r>
        <w:t>Best Practices for Delivery [Delivery], Section 3.4 provides naming conventions for creating identifiers specific to a track.  If these are adhered to by all parties, they can provide unique track references.  Specifically, when the manifest file creator and the mezzanine file creator will deterministically create the same identifier.  Be warned that use is limited to those cases where naming conventions are established.  Also, be warned that this falls into the general category of embedding metadata in identifiers which is a risky practice.</w:t>
      </w:r>
    </w:p>
    <w:p w:rsidR="00C5552B" w:rsidRDefault="000A3DAA" w:rsidP="000A3DAA">
      <w:pPr>
        <w:pStyle w:val="Heading4"/>
      </w:pPr>
      <w:r>
        <w:t>Type/Subtype and Language</w:t>
      </w:r>
    </w:p>
    <w:p w:rsidR="00A81E98" w:rsidRDefault="00A81E98" w:rsidP="000A3DAA">
      <w:pPr>
        <w:pStyle w:val="Body"/>
      </w:pPr>
      <w:r>
        <w:t xml:space="preserve">Type is included in Inventory/Audio, Inventory/Video, Inventory/Subtitle, Inventory/Interactive and Inventory/Ancillary.  </w:t>
      </w:r>
      <w:proofErr w:type="spellStart"/>
      <w:r>
        <w:t>SubType</w:t>
      </w:r>
      <w:proofErr w:type="spellEnd"/>
      <w:r>
        <w:t xml:space="preserve"> is included in Inventory/Ancillary.</w:t>
      </w:r>
    </w:p>
    <w:p w:rsidR="00A81E98" w:rsidRDefault="00A81E98" w:rsidP="000A3DAA">
      <w:pPr>
        <w:pStyle w:val="Body"/>
      </w:pPr>
      <w:r>
        <w:t xml:space="preserve">Language is included in Inventory/Audio, Inventory/Video Inventory/Subtitle and Inventory/Image.  Inventory/Video also includes </w:t>
      </w:r>
      <w:proofErr w:type="spellStart"/>
      <w:r>
        <w:t>SubtitleLanguage</w:t>
      </w:r>
      <w:proofErr w:type="spellEnd"/>
      <w:r>
        <w:t xml:space="preserve"> for burned or closed subtitles, and </w:t>
      </w:r>
      <w:proofErr w:type="spellStart"/>
      <w:r>
        <w:t>SignedLanguage</w:t>
      </w:r>
      <w:proofErr w:type="spellEnd"/>
      <w:r>
        <w:t xml:space="preserve"> visible sign language respectively.</w:t>
      </w:r>
    </w:p>
    <w:p w:rsidR="000A3DAA" w:rsidRDefault="000A3DAA" w:rsidP="000A3DAA">
      <w:pPr>
        <w:pStyle w:val="Body"/>
      </w:pPr>
      <w:r>
        <w:t xml:space="preserve">Type and Language </w:t>
      </w:r>
      <w:r w:rsidR="004C036B">
        <w:t xml:space="preserve">can often </w:t>
      </w:r>
      <w:proofErr w:type="spellStart"/>
      <w:r>
        <w:t>used</w:t>
      </w:r>
      <w:proofErr w:type="spellEnd"/>
      <w:r>
        <w:t xml:space="preserve"> together are often sufficient to distinguish tracks within a track type.  </w:t>
      </w:r>
      <w:r w:rsidR="001E249E">
        <w:t>In most use cases, descriptions like “French SDH” subtitle track is sufficient information</w:t>
      </w:r>
      <w:r w:rsidR="00E17006">
        <w:t xml:space="preserve"> (i.e., Language=“</w:t>
      </w:r>
      <w:proofErr w:type="spellStart"/>
      <w:r w:rsidR="00E17006">
        <w:t>fr</w:t>
      </w:r>
      <w:proofErr w:type="spellEnd"/>
      <w:r w:rsidR="00E17006">
        <w:t>”, Type= “SDH”)</w:t>
      </w:r>
      <w:r w:rsidR="001E249E">
        <w:t>.</w:t>
      </w:r>
    </w:p>
    <w:p w:rsidR="00E17006" w:rsidRDefault="00E17006" w:rsidP="00E17006">
      <w:pPr>
        <w:pStyle w:val="Body"/>
      </w:pPr>
      <w:r>
        <w:t xml:space="preserve">Language is often required for localized images, but is not often contained in file metadata.  A distinct means of determining image metadata is required (e.g., filename).  </w:t>
      </w:r>
      <w:r w:rsidRPr="00E17006">
        <w:rPr>
          <w:highlight w:val="yellow"/>
        </w:rPr>
        <w:t>[CHS: are there any standards such as EXIF that include language for images?]</w:t>
      </w:r>
    </w:p>
    <w:p w:rsidR="00C5552B" w:rsidRDefault="00C5552B" w:rsidP="00C5552B">
      <w:pPr>
        <w:pStyle w:val="Heading3"/>
      </w:pPr>
      <w:bookmarkStart w:id="84" w:name="_Toc442136556"/>
      <w:r>
        <w:t>Video Reference</w:t>
      </w:r>
      <w:bookmarkEnd w:id="84"/>
    </w:p>
    <w:p w:rsidR="00E17006" w:rsidRPr="00E17006" w:rsidRDefault="00E17006" w:rsidP="00E17006">
      <w:pPr>
        <w:pStyle w:val="Body"/>
      </w:pPr>
      <w:r w:rsidRPr="00E17006">
        <w:rPr>
          <w:highlight w:val="yellow"/>
        </w:rPr>
        <w:t>TBS</w:t>
      </w:r>
    </w:p>
    <w:p w:rsidR="00C5552B" w:rsidRDefault="00C5552B" w:rsidP="00C5552B">
      <w:pPr>
        <w:pStyle w:val="Heading3"/>
      </w:pPr>
      <w:bookmarkStart w:id="85" w:name="_Toc442136557"/>
      <w:r>
        <w:t>Audio Reference</w:t>
      </w:r>
      <w:bookmarkEnd w:id="85"/>
    </w:p>
    <w:p w:rsidR="00E17006" w:rsidRPr="00E17006" w:rsidRDefault="00E17006" w:rsidP="00E17006">
      <w:pPr>
        <w:pStyle w:val="Body"/>
      </w:pPr>
      <w:r w:rsidRPr="00E17006">
        <w:rPr>
          <w:highlight w:val="yellow"/>
        </w:rPr>
        <w:t>TBS</w:t>
      </w:r>
    </w:p>
    <w:p w:rsidR="00C5552B" w:rsidRDefault="00C5552B" w:rsidP="00C5552B">
      <w:pPr>
        <w:pStyle w:val="Heading3"/>
      </w:pPr>
      <w:bookmarkStart w:id="86" w:name="_Toc442136558"/>
      <w:r>
        <w:t>Subtitle Reference</w:t>
      </w:r>
      <w:bookmarkEnd w:id="86"/>
    </w:p>
    <w:p w:rsidR="00E17006" w:rsidRPr="00E17006" w:rsidRDefault="00E17006" w:rsidP="00E17006">
      <w:pPr>
        <w:pStyle w:val="Body"/>
      </w:pPr>
      <w:r w:rsidRPr="00E17006">
        <w:rPr>
          <w:highlight w:val="yellow"/>
        </w:rPr>
        <w:t>TBS</w:t>
      </w:r>
    </w:p>
    <w:p w:rsidR="00C5552B" w:rsidRDefault="00C5552B" w:rsidP="00C5552B">
      <w:pPr>
        <w:pStyle w:val="Heading3"/>
      </w:pPr>
      <w:bookmarkStart w:id="87" w:name="_Toc442136559"/>
      <w:r>
        <w:t>Image Reference</w:t>
      </w:r>
      <w:bookmarkEnd w:id="87"/>
    </w:p>
    <w:p w:rsidR="00C5552B" w:rsidRPr="00C5552B" w:rsidRDefault="00E17006" w:rsidP="00E17006">
      <w:pPr>
        <w:pStyle w:val="Body"/>
      </w:pPr>
      <w:r w:rsidRPr="00E17006">
        <w:rPr>
          <w:highlight w:val="yellow"/>
        </w:rPr>
        <w:t>TBS</w:t>
      </w:r>
    </w:p>
    <w:p w:rsidR="00980356" w:rsidRDefault="00980356" w:rsidP="00980356">
      <w:pPr>
        <w:pStyle w:val="Heading2"/>
      </w:pPr>
      <w:bookmarkStart w:id="88" w:name="_Toc442136560"/>
      <w:r>
        <w:t>IMF Reference</w:t>
      </w:r>
      <w:bookmarkEnd w:id="88"/>
    </w:p>
    <w:p w:rsidR="00980356" w:rsidRDefault="00980356" w:rsidP="002F3D1D">
      <w:pPr>
        <w:pStyle w:val="Body"/>
      </w:pPr>
      <w:r>
        <w:t>This section defines how to reference an IMF file from a Media Manifest Inventory.</w:t>
      </w:r>
    </w:p>
    <w:p w:rsidR="00980356" w:rsidRDefault="00980356" w:rsidP="002F3D1D">
      <w:pPr>
        <w:pStyle w:val="Body"/>
      </w:pPr>
      <w:r>
        <w:t xml:space="preserve">Common </w:t>
      </w:r>
      <w:r w:rsidRPr="002F3D1D">
        <w:t>Manifest</w:t>
      </w:r>
      <w:r>
        <w:t xml:space="preserve"> allows user experiences to be assembled from individual assets, e.g. a video track, audio track, etc.</w:t>
      </w:r>
    </w:p>
    <w:p w:rsidR="00980356" w:rsidRDefault="00980356" w:rsidP="002F3D1D">
      <w:pPr>
        <w:pStyle w:val="Body"/>
      </w:pPr>
      <w:r>
        <w:t xml:space="preserve">The Interoperable Master Format (IMF) Framework </w:t>
      </w:r>
      <w:r w:rsidRPr="00B71380">
        <w:t>facilitate</w:t>
      </w:r>
      <w:r>
        <w:t>s</w:t>
      </w:r>
      <w:r w:rsidRPr="00B71380">
        <w:t xml:space="preserve"> the management and processing of multiple </w:t>
      </w:r>
      <w:r>
        <w:t>Compositions</w:t>
      </w:r>
      <w:r w:rsidRPr="00B71380">
        <w:t xml:space="preserve"> (airline edits, special edition</w:t>
      </w:r>
      <w:r w:rsidRPr="00B71380" w:rsidDel="004927C0">
        <w:t xml:space="preserve"> </w:t>
      </w:r>
      <w:r w:rsidRPr="00B71380">
        <w:t>…) of the same high-quality finished work (</w:t>
      </w:r>
      <w:r w:rsidRPr="002F3D1D">
        <w:t>feature</w:t>
      </w:r>
      <w:r w:rsidRPr="00B71380">
        <w:t>, episode, trailer, etc</w:t>
      </w:r>
      <w:r>
        <w:t>.</w:t>
      </w:r>
      <w:r w:rsidRPr="00B71380">
        <w:t>).</w:t>
      </w:r>
      <w:r>
        <w:t xml:space="preserve">  Th</w:t>
      </w:r>
      <w:r w:rsidRPr="00B71380">
        <w:t xml:space="preserve">e playback timeline </w:t>
      </w:r>
      <w:r>
        <w:t xml:space="preserve">of each Composition is controlled by a </w:t>
      </w:r>
      <w:r w:rsidRPr="00B71380">
        <w:t>Composition Playlist</w:t>
      </w:r>
      <w:r>
        <w:t xml:space="preserve"> (CPL), which is specified in SMPTE ST 2067-3 and defines a Virtual Track for each essence kind, e.g. video, audio, etc.</w:t>
      </w:r>
    </w:p>
    <w:p w:rsidR="00980356" w:rsidRDefault="00980356" w:rsidP="00980356">
      <w:pPr>
        <w:pStyle w:val="Body"/>
      </w:pPr>
      <w:r>
        <w:t xml:space="preserve">An IMF </w:t>
      </w:r>
      <w:r w:rsidRPr="005F20F5">
        <w:t>Output Profile List</w:t>
      </w:r>
      <w:r>
        <w:t xml:space="preserve"> (OPL), which is specified in SMPTE ST 2067-100, can then be used to transform (scaled, cropped, etc.) Virtual Tracks to meet the specific needs of downstream distribution channels.</w:t>
      </w:r>
    </w:p>
    <w:p w:rsidR="00980356" w:rsidRDefault="00980356" w:rsidP="00980356">
      <w:pPr>
        <w:pStyle w:val="Figure"/>
      </w:pPr>
      <w:r w:rsidRPr="00437ECD">
        <w:drawing>
          <wp:inline distT="0" distB="0" distL="0" distR="0" wp14:anchorId="7CCB9EDA" wp14:editId="2A99FA79">
            <wp:extent cx="41433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3375" cy="1628775"/>
                    </a:xfrm>
                    <a:prstGeom prst="rect">
                      <a:avLst/>
                    </a:prstGeom>
                    <a:noFill/>
                    <a:ln>
                      <a:noFill/>
                    </a:ln>
                  </pic:spPr>
                </pic:pic>
              </a:graphicData>
            </a:graphic>
          </wp:inline>
        </w:drawing>
      </w:r>
    </w:p>
    <w:p w:rsidR="00980356" w:rsidRPr="00132D6F" w:rsidRDefault="00980356" w:rsidP="00132D6F">
      <w:pPr>
        <w:pStyle w:val="Caption"/>
      </w:pPr>
      <w:bookmarkStart w:id="89" w:name="_Ref385001340"/>
      <w:r w:rsidRPr="00132D6F">
        <w:t xml:space="preserve">Figure </w:t>
      </w:r>
      <w:r w:rsidRPr="00132D6F">
        <w:fldChar w:fldCharType="begin"/>
      </w:r>
      <w:r w:rsidRPr="00132D6F">
        <w:instrText xml:space="preserve"> SEQ Figure \* ARABIC </w:instrText>
      </w:r>
      <w:r w:rsidRPr="00132D6F">
        <w:fldChar w:fldCharType="separate"/>
      </w:r>
      <w:r w:rsidRPr="00132D6F">
        <w:rPr>
          <w:noProof/>
        </w:rPr>
        <w:t>1</w:t>
      </w:r>
      <w:r w:rsidRPr="00132D6F">
        <w:rPr>
          <w:noProof/>
        </w:rPr>
        <w:fldChar w:fldCharType="end"/>
      </w:r>
      <w:bookmarkEnd w:id="89"/>
      <w:r w:rsidRPr="00132D6F">
        <w:t>. Referencing an IMF Package from Common Manifest.</w:t>
      </w:r>
    </w:p>
    <w:p w:rsidR="00980356" w:rsidRDefault="00980356" w:rsidP="00980356">
      <w:pPr>
        <w:pStyle w:val="Body"/>
      </w:pPr>
      <w:r w:rsidRPr="006274D7">
        <w:t xml:space="preserve">As illustrated in </w:t>
      </w:r>
      <w:r w:rsidRPr="006274D7">
        <w:fldChar w:fldCharType="begin"/>
      </w:r>
      <w:r w:rsidRPr="006274D7">
        <w:instrText xml:space="preserve"> REF _Ref385001340 \h </w:instrText>
      </w:r>
      <w:r>
        <w:instrText xml:space="preserve"> \* MERGEFORMAT </w:instrText>
      </w:r>
      <w:r w:rsidRPr="006274D7">
        <w:fldChar w:fldCharType="separate"/>
      </w:r>
      <w:r>
        <w:t>Figure 1</w:t>
      </w:r>
      <w:r w:rsidRPr="006274D7">
        <w:fldChar w:fldCharType="end"/>
      </w:r>
      <w:r w:rsidRPr="006274D7">
        <w:t>, this document allows Common Manifest to reference IMF CPL Virtual Tracks and IMF OPL Macro Outputs. The IMF files can be either local or accessed through HTTP or HTTPS.</w:t>
      </w:r>
    </w:p>
    <w:p w:rsidR="00132D6F" w:rsidRDefault="00132D6F" w:rsidP="00132D6F">
      <w:pPr>
        <w:pStyle w:val="Heading3"/>
        <w:rPr>
          <w:rFonts w:asciiTheme="majorHAnsi" w:hAnsiTheme="majorHAnsi" w:cstheme="majorBidi"/>
        </w:rPr>
      </w:pPr>
      <w:bookmarkStart w:id="90" w:name="_Toc421626266"/>
      <w:bookmarkStart w:id="91" w:name="_Toc442136561"/>
      <w:r w:rsidRPr="00132D6F">
        <w:t>Referencing</w:t>
      </w:r>
      <w:r>
        <w:t xml:space="preserve"> IMF CPL Virtual Tracks</w:t>
      </w:r>
      <w:bookmarkEnd w:id="90"/>
      <w:bookmarkEnd w:id="91"/>
    </w:p>
    <w:p w:rsidR="00132D6F" w:rsidRDefault="00132D6F" w:rsidP="00132D6F">
      <w:pPr>
        <w:pStyle w:val="Heading4"/>
        <w:rPr>
          <w:shd w:val="clear" w:color="auto" w:fill="FFFFFF"/>
        </w:rPr>
      </w:pPr>
      <w:bookmarkStart w:id="92" w:name="_Toc421626267"/>
      <w:r>
        <w:rPr>
          <w:shd w:val="clear" w:color="auto" w:fill="FFFFFF"/>
        </w:rPr>
        <w:t>General</w:t>
      </w:r>
      <w:bookmarkEnd w:id="92"/>
    </w:p>
    <w:p w:rsidR="00132D6F" w:rsidRPr="00F80407" w:rsidRDefault="00132D6F" w:rsidP="00132D6F">
      <w:pPr>
        <w:pStyle w:val="Body"/>
        <w:keepNext/>
      </w:pPr>
      <w:r w:rsidRPr="00F80407">
        <w:t>A Common Manifest Inventory Asset that references an IMF CPL Virtual Track shall conform to this Section.</w:t>
      </w:r>
    </w:p>
    <w:p w:rsidR="00132D6F" w:rsidRDefault="00132D6F" w:rsidP="00132D6F">
      <w:pPr>
        <w:keepNext/>
        <w:jc w:val="center"/>
      </w:pPr>
      <w:r w:rsidRPr="0000371D">
        <w:rPr>
          <w:noProof/>
        </w:rPr>
        <w:drawing>
          <wp:inline distT="0" distB="0" distL="0" distR="0" wp14:anchorId="4E734309" wp14:editId="36DF8F81">
            <wp:extent cx="3114675" cy="391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4675" cy="3914775"/>
                    </a:xfrm>
                    <a:prstGeom prst="rect">
                      <a:avLst/>
                    </a:prstGeom>
                    <a:noFill/>
                    <a:ln>
                      <a:noFill/>
                    </a:ln>
                  </pic:spPr>
                </pic:pic>
              </a:graphicData>
            </a:graphic>
          </wp:inline>
        </w:drawing>
      </w:r>
    </w:p>
    <w:p w:rsidR="00132D6F" w:rsidRDefault="00132D6F" w:rsidP="00132D6F">
      <w:pPr>
        <w:pStyle w:val="Caption"/>
        <w:rPr>
          <w:shd w:val="clear" w:color="auto" w:fill="FFFFFF"/>
        </w:rPr>
      </w:pPr>
      <w:r>
        <w:t xml:space="preserve">Figure </w:t>
      </w:r>
      <w:r>
        <w:fldChar w:fldCharType="begin"/>
      </w:r>
      <w:r>
        <w:instrText xml:space="preserve"> SEQ Figure \* ARABIC </w:instrText>
      </w:r>
      <w:r>
        <w:fldChar w:fldCharType="separate"/>
      </w:r>
      <w:r>
        <w:rPr>
          <w:noProof/>
        </w:rPr>
        <w:t>2</w:t>
      </w:r>
      <w:r>
        <w:rPr>
          <w:noProof/>
        </w:rPr>
        <w:fldChar w:fldCharType="end"/>
      </w:r>
      <w:r>
        <w:t>. Referencing an IMF CPL Virtual Track.</w:t>
      </w:r>
    </w:p>
    <w:p w:rsidR="00132D6F" w:rsidRDefault="00132D6F" w:rsidP="00132D6F">
      <w:pPr>
        <w:pStyle w:val="Heading4"/>
      </w:pPr>
      <w:bookmarkStart w:id="93" w:name="_Toc421626268"/>
      <w:proofErr w:type="spellStart"/>
      <w:r>
        <w:t>TrackReference</w:t>
      </w:r>
      <w:bookmarkEnd w:id="93"/>
      <w:proofErr w:type="spellEnd"/>
    </w:p>
    <w:p w:rsidR="00132D6F" w:rsidRPr="00815CAD" w:rsidRDefault="00132D6F" w:rsidP="00132D6F">
      <w:pPr>
        <w:pStyle w:val="Body"/>
      </w:pPr>
      <w:r>
        <w:t xml:space="preserve">The </w:t>
      </w:r>
      <w:proofErr w:type="spellStart"/>
      <w:r w:rsidRPr="00815CAD">
        <w:rPr>
          <w:rStyle w:val="Keyword"/>
        </w:rPr>
        <w:t>TrackReference</w:t>
      </w:r>
      <w:proofErr w:type="spellEnd"/>
      <w:r w:rsidRPr="00815CAD">
        <w:t xml:space="preserve"> </w:t>
      </w:r>
      <w:r>
        <w:t xml:space="preserve">element is not used and should not be present. </w:t>
      </w:r>
    </w:p>
    <w:p w:rsidR="00132D6F" w:rsidRDefault="00132D6F" w:rsidP="00132D6F">
      <w:pPr>
        <w:pStyle w:val="Heading4"/>
      </w:pPr>
      <w:bookmarkStart w:id="94" w:name="_Toc421626269"/>
      <w:proofErr w:type="spellStart"/>
      <w:r w:rsidRPr="00C82048">
        <w:rPr>
          <w:shd w:val="clear" w:color="auto" w:fill="FFFFFF"/>
        </w:rPr>
        <w:t>TrackIdentifier</w:t>
      </w:r>
      <w:bookmarkEnd w:id="94"/>
      <w:proofErr w:type="spellEnd"/>
    </w:p>
    <w:p w:rsidR="00132D6F" w:rsidRDefault="00132D6F" w:rsidP="00132D6F">
      <w:pPr>
        <w:pStyle w:val="Body"/>
      </w:pPr>
      <w:r>
        <w:t xml:space="preserve">The </w:t>
      </w:r>
      <w:proofErr w:type="spellStart"/>
      <w:r w:rsidRPr="00660957">
        <w:rPr>
          <w:rStyle w:val="Keyword"/>
        </w:rPr>
        <w:t>TrackIdentifier</w:t>
      </w:r>
      <w:proofErr w:type="spellEnd"/>
      <w:r w:rsidRPr="00660957">
        <w:rPr>
          <w:rStyle w:val="Keyword"/>
        </w:rPr>
        <w:t>/Namespace</w:t>
      </w:r>
      <w:r>
        <w:t xml:space="preserve"> element shall be </w:t>
      </w:r>
      <w:r w:rsidRPr="00660957">
        <w:rPr>
          <w:rStyle w:val="Keyword"/>
        </w:rPr>
        <w:t>"</w:t>
      </w:r>
      <w:proofErr w:type="spellStart"/>
      <w:r>
        <w:rPr>
          <w:rStyle w:val="Keyword"/>
        </w:rPr>
        <w:t>smpte</w:t>
      </w:r>
      <w:proofErr w:type="gramStart"/>
      <w:r>
        <w:rPr>
          <w:rStyle w:val="Keyword"/>
        </w:rPr>
        <w:t>:imf</w:t>
      </w:r>
      <w:proofErr w:type="spellEnd"/>
      <w:proofErr w:type="gramEnd"/>
      <w:r w:rsidRPr="00660957">
        <w:rPr>
          <w:rStyle w:val="Keyword"/>
        </w:rPr>
        <w:t>"</w:t>
      </w:r>
      <w:r w:rsidRPr="00F80407">
        <w:t>.</w:t>
      </w:r>
    </w:p>
    <w:p w:rsidR="00132D6F" w:rsidRDefault="00132D6F" w:rsidP="00132D6F">
      <w:pPr>
        <w:pStyle w:val="Body"/>
      </w:pPr>
      <w:r>
        <w:t xml:space="preserve">The </w:t>
      </w:r>
      <w:proofErr w:type="spellStart"/>
      <w:r w:rsidRPr="00660957">
        <w:rPr>
          <w:rStyle w:val="Keyword"/>
        </w:rPr>
        <w:t>TrackIdentifier</w:t>
      </w:r>
      <w:proofErr w:type="spellEnd"/>
      <w:r w:rsidRPr="00660957">
        <w:rPr>
          <w:rStyle w:val="Keyword"/>
        </w:rPr>
        <w:t>/Identifier</w:t>
      </w:r>
      <w:r>
        <w:t xml:space="preserve"> element shall conform to the </w:t>
      </w:r>
      <w:r w:rsidRPr="003E76A7">
        <w:rPr>
          <w:rStyle w:val="Keyword"/>
        </w:rPr>
        <w:t>&lt;track-</w:t>
      </w:r>
      <w:r>
        <w:rPr>
          <w:rStyle w:val="Keyword"/>
        </w:rPr>
        <w:t>id</w:t>
      </w:r>
      <w:r w:rsidRPr="003E76A7">
        <w:rPr>
          <w:rStyle w:val="Keyword"/>
        </w:rPr>
        <w:t>&gt;</w:t>
      </w:r>
      <w:r>
        <w:t xml:space="preserve"> syntax:</w:t>
      </w:r>
    </w:p>
    <w:p w:rsidR="00132D6F" w:rsidRPr="002C4F5A" w:rsidRDefault="00132D6F" w:rsidP="00132D6F">
      <w:pPr>
        <w:pStyle w:val="Verbatim"/>
        <w:rPr>
          <w:rStyle w:val="Keyword"/>
        </w:rPr>
      </w:pPr>
      <w:r w:rsidRPr="002C4F5A">
        <w:t>&lt;track-</w:t>
      </w:r>
      <w:r>
        <w:t>id</w:t>
      </w:r>
      <w:r w:rsidRPr="002C4F5A">
        <w:t xml:space="preserve">&gt; ::= </w:t>
      </w:r>
      <w:r w:rsidRPr="002C4F5A">
        <w:rPr>
          <w:rStyle w:val="Keyword"/>
        </w:rPr>
        <w:t>"</w:t>
      </w:r>
      <w:r w:rsidRPr="002C4F5A">
        <w:t>cpls/</w:t>
      </w:r>
      <w:r w:rsidRPr="002C4F5A">
        <w:rPr>
          <w:rStyle w:val="Keyword"/>
        </w:rPr>
        <w:t>"</w:t>
      </w:r>
      <w:r w:rsidRPr="002C4F5A">
        <w:t xml:space="preserve"> </w:t>
      </w:r>
      <w:r w:rsidRPr="002C4F5A">
        <w:rPr>
          <w:rStyle w:val="Keyword"/>
        </w:rPr>
        <w:t>&lt;cpl-id&gt; "/virtual-tracks/" &lt;virtual-track-id&gt;</w:t>
      </w:r>
    </w:p>
    <w:p w:rsidR="00132D6F" w:rsidRPr="002C4F5A" w:rsidRDefault="00132D6F" w:rsidP="00132D6F">
      <w:pPr>
        <w:pStyle w:val="Verbatim"/>
      </w:pPr>
      <w:r w:rsidRPr="002C4F5A">
        <w:t>&lt;cpl-id&gt; ::= &lt;uuid&gt;</w:t>
      </w:r>
    </w:p>
    <w:p w:rsidR="00132D6F" w:rsidRDefault="00132D6F" w:rsidP="00132D6F">
      <w:pPr>
        <w:pStyle w:val="Verbatim"/>
      </w:pPr>
      <w:r w:rsidRPr="00660957">
        <w:t>&lt;virtual-track-id&gt; ::= &lt;uuid&gt;</w:t>
      </w:r>
    </w:p>
    <w:p w:rsidR="00132D6F" w:rsidRDefault="00132D6F" w:rsidP="00132D6F">
      <w:pPr>
        <w:pStyle w:val="Body"/>
      </w:pPr>
      <w:proofErr w:type="gramStart"/>
      <w:r w:rsidRPr="00BA19B9">
        <w:t>where</w:t>
      </w:r>
      <w:proofErr w:type="gramEnd"/>
      <w:r w:rsidRPr="00BA19B9">
        <w:t xml:space="preserve"> </w:t>
      </w:r>
      <w:r w:rsidRPr="00A64EAF">
        <w:rPr>
          <w:rStyle w:val="Keyword"/>
        </w:rPr>
        <w:t>&lt;</w:t>
      </w:r>
      <w:proofErr w:type="spellStart"/>
      <w:r w:rsidRPr="00A64EAF">
        <w:rPr>
          <w:rStyle w:val="Keyword"/>
        </w:rPr>
        <w:t>cpl</w:t>
      </w:r>
      <w:proofErr w:type="spellEnd"/>
      <w:r w:rsidRPr="00A64EAF">
        <w:rPr>
          <w:rStyle w:val="Keyword"/>
        </w:rPr>
        <w:t>-id&gt;</w:t>
      </w:r>
      <w:r w:rsidRPr="00BA19B9">
        <w:t xml:space="preserve"> </w:t>
      </w:r>
      <w:r>
        <w:t>shall be</w:t>
      </w:r>
      <w:r w:rsidRPr="00BA19B9">
        <w:t xml:space="preserve"> the </w:t>
      </w:r>
      <w:r w:rsidRPr="00703A60">
        <w:rPr>
          <w:rStyle w:val="Keyword"/>
        </w:rPr>
        <w:t>Id</w:t>
      </w:r>
      <w:r w:rsidRPr="00BA19B9">
        <w:t xml:space="preserve"> of the Com</w:t>
      </w:r>
      <w:r>
        <w:t>position Playlist (see Section 6</w:t>
      </w:r>
      <w:r w:rsidRPr="00BA19B9">
        <w:t xml:space="preserve">.1.1 of SMPTE </w:t>
      </w:r>
      <w:r>
        <w:t xml:space="preserve">ST 2067-3) and </w:t>
      </w:r>
      <w:r w:rsidRPr="00A64EAF">
        <w:rPr>
          <w:rStyle w:val="Keyword"/>
        </w:rPr>
        <w:t>&lt;virtual-track-id&gt;</w:t>
      </w:r>
      <w:r>
        <w:t xml:space="preserve"> shall be equal to the </w:t>
      </w:r>
      <w:proofErr w:type="spellStart"/>
      <w:r w:rsidRPr="00D163D8">
        <w:rPr>
          <w:rStyle w:val="Keyword"/>
        </w:rPr>
        <w:t>TrackId</w:t>
      </w:r>
      <w:proofErr w:type="spellEnd"/>
      <w:r w:rsidRPr="00D163D8">
        <w:rPr>
          <w:rStyle w:val="Keyword"/>
        </w:rPr>
        <w:t xml:space="preserve"> </w:t>
      </w:r>
      <w:r>
        <w:t>of the CPL Virtual Track (see Section 6.9.3 of SMPTE ST 2067-3).</w:t>
      </w:r>
    </w:p>
    <w:p w:rsidR="00132D6F" w:rsidRDefault="00132D6F" w:rsidP="00132D6F">
      <w:pPr>
        <w:pStyle w:val="Body"/>
      </w:pPr>
      <w:r>
        <w:t xml:space="preserve">The </w:t>
      </w:r>
      <w:proofErr w:type="spellStart"/>
      <w:r w:rsidRPr="003E07A2">
        <w:rPr>
          <w:rStyle w:val="Keyword"/>
        </w:rPr>
        <w:t>TrackIdentifier</w:t>
      </w:r>
      <w:proofErr w:type="spellEnd"/>
      <w:r w:rsidRPr="003E07A2">
        <w:rPr>
          <w:rStyle w:val="Keyword"/>
        </w:rPr>
        <w:t>/Location</w:t>
      </w:r>
      <w:r>
        <w:t xml:space="preserve"> element is not used and should not be present.</w:t>
      </w:r>
    </w:p>
    <w:p w:rsidR="00132D6F" w:rsidRDefault="00132D6F" w:rsidP="00132D6F">
      <w:pPr>
        <w:pStyle w:val="Heading4"/>
      </w:pPr>
      <w:bookmarkStart w:id="95" w:name="_Toc421626270"/>
      <w:proofErr w:type="spellStart"/>
      <w:r w:rsidRPr="00735672">
        <w:rPr>
          <w:shd w:val="clear" w:color="auto" w:fill="FFFFFF"/>
        </w:rPr>
        <w:t>ContainerReference</w:t>
      </w:r>
      <w:bookmarkEnd w:id="95"/>
      <w:proofErr w:type="spellEnd"/>
    </w:p>
    <w:p w:rsidR="00132D6F" w:rsidRDefault="00132D6F" w:rsidP="00132D6F">
      <w:pPr>
        <w:pStyle w:val="Body"/>
      </w:pPr>
      <w:r>
        <w:t xml:space="preserve">If </w:t>
      </w:r>
      <w:r w:rsidRPr="00F96CEF">
        <w:t>present,</w:t>
      </w:r>
      <w:r>
        <w:rPr>
          <w:rStyle w:val="Keyword"/>
          <w:rFonts w:asciiTheme="minorHAnsi" w:hAnsiTheme="minorHAnsi" w:cs="Calibri"/>
          <w:sz w:val="22"/>
          <w:szCs w:val="22"/>
        </w:rPr>
        <w:t xml:space="preserve"> </w:t>
      </w:r>
      <w:r>
        <w:t xml:space="preserve">the </w:t>
      </w:r>
      <w:proofErr w:type="spellStart"/>
      <w:r w:rsidRPr="003E07A2">
        <w:rPr>
          <w:rStyle w:val="Keyword"/>
        </w:rPr>
        <w:t>ContainerReference</w:t>
      </w:r>
      <w:proofErr w:type="spellEnd"/>
      <w:r w:rsidRPr="00CA7693">
        <w:rPr>
          <w:rStyle w:val="Keyword"/>
          <w:rFonts w:asciiTheme="minorHAnsi" w:hAnsiTheme="minorHAnsi" w:cs="Calibri"/>
          <w:sz w:val="22"/>
          <w:szCs w:val="22"/>
        </w:rPr>
        <w:t xml:space="preserve"> </w:t>
      </w:r>
      <w:r w:rsidRPr="00F96CEF">
        <w:t>element shall conform to</w:t>
      </w:r>
      <w:r>
        <w:t xml:space="preserve"> Section </w:t>
      </w:r>
      <w:r>
        <w:fldChar w:fldCharType="begin"/>
      </w:r>
      <w:r>
        <w:instrText xml:space="preserve"> REF _Ref384992701 \r \h  \* MERGEFORMAT </w:instrText>
      </w:r>
      <w:r>
        <w:fldChar w:fldCharType="separate"/>
      </w:r>
      <w:r>
        <w:t>3</w:t>
      </w:r>
      <w:r>
        <w:fldChar w:fldCharType="end"/>
      </w:r>
      <w:r>
        <w:t>.</w:t>
      </w:r>
    </w:p>
    <w:p w:rsidR="00132D6F" w:rsidRDefault="00132D6F" w:rsidP="00132D6F">
      <w:pPr>
        <w:pStyle w:val="Heading3"/>
      </w:pPr>
      <w:bookmarkStart w:id="96" w:name="_Ref384994457"/>
      <w:bookmarkStart w:id="97" w:name="_Toc421626271"/>
      <w:bookmarkStart w:id="98" w:name="_Toc442136562"/>
      <w:r>
        <w:t>Referencing OPL Macro Outputs</w:t>
      </w:r>
      <w:bookmarkEnd w:id="96"/>
      <w:bookmarkEnd w:id="97"/>
      <w:bookmarkEnd w:id="98"/>
    </w:p>
    <w:p w:rsidR="00132D6F" w:rsidRDefault="00132D6F" w:rsidP="00132D6F">
      <w:pPr>
        <w:pStyle w:val="Heading4"/>
      </w:pPr>
      <w:bookmarkStart w:id="99" w:name="_Toc421626272"/>
      <w:r>
        <w:rPr>
          <w:shd w:val="clear" w:color="auto" w:fill="FFFFFF"/>
        </w:rPr>
        <w:t>General</w:t>
      </w:r>
      <w:bookmarkEnd w:id="99"/>
    </w:p>
    <w:p w:rsidR="00132D6F" w:rsidRPr="00750746" w:rsidRDefault="00132D6F" w:rsidP="00132D6F">
      <w:pPr>
        <w:pStyle w:val="Body"/>
      </w:pPr>
      <w:r w:rsidRPr="00750746">
        <w:t>A Common Manifest Inventory Asset that references an OPL Macro Output shall conform to this Section.</w:t>
      </w:r>
    </w:p>
    <w:p w:rsidR="00132D6F" w:rsidRDefault="00132D6F" w:rsidP="00132D6F">
      <w:pPr>
        <w:pStyle w:val="Heading4"/>
        <w:rPr>
          <w:shd w:val="clear" w:color="auto" w:fill="FFFFFF"/>
        </w:rPr>
      </w:pPr>
      <w:bookmarkStart w:id="100" w:name="_Toc421626273"/>
      <w:proofErr w:type="spellStart"/>
      <w:r>
        <w:rPr>
          <w:shd w:val="clear" w:color="auto" w:fill="FFFFFF"/>
        </w:rPr>
        <w:t>TrackReference</w:t>
      </w:r>
      <w:bookmarkEnd w:id="100"/>
      <w:proofErr w:type="spellEnd"/>
    </w:p>
    <w:p w:rsidR="00132D6F" w:rsidRDefault="00132D6F" w:rsidP="00132D6F">
      <w:pPr>
        <w:pStyle w:val="Body"/>
      </w:pPr>
      <w:r>
        <w:t xml:space="preserve">The </w:t>
      </w:r>
      <w:proofErr w:type="spellStart"/>
      <w:r w:rsidRPr="00815CAD">
        <w:rPr>
          <w:rStyle w:val="Keyword"/>
        </w:rPr>
        <w:t>TrackReference</w:t>
      </w:r>
      <w:proofErr w:type="spellEnd"/>
      <w:r w:rsidRPr="00815CAD">
        <w:t xml:space="preserve"> </w:t>
      </w:r>
      <w:r>
        <w:t xml:space="preserve">element is not used and should not be present. </w:t>
      </w:r>
    </w:p>
    <w:p w:rsidR="00132D6F" w:rsidRDefault="00132D6F" w:rsidP="00132D6F">
      <w:pPr>
        <w:pStyle w:val="Heading4"/>
      </w:pPr>
      <w:bookmarkStart w:id="101" w:name="_Toc421626274"/>
      <w:proofErr w:type="spellStart"/>
      <w:r w:rsidRPr="00C82048">
        <w:rPr>
          <w:shd w:val="clear" w:color="auto" w:fill="FFFFFF"/>
        </w:rPr>
        <w:t>TrackIdentifier</w:t>
      </w:r>
      <w:bookmarkEnd w:id="101"/>
      <w:proofErr w:type="spellEnd"/>
    </w:p>
    <w:p w:rsidR="00132D6F" w:rsidRDefault="00132D6F" w:rsidP="00132D6F">
      <w:pPr>
        <w:pStyle w:val="Body"/>
      </w:pPr>
      <w:r>
        <w:t xml:space="preserve">The </w:t>
      </w:r>
      <w:proofErr w:type="spellStart"/>
      <w:r w:rsidRPr="00660957">
        <w:rPr>
          <w:rStyle w:val="Keyword"/>
        </w:rPr>
        <w:t>TrackIdentifier</w:t>
      </w:r>
      <w:proofErr w:type="spellEnd"/>
      <w:r w:rsidRPr="00660957">
        <w:rPr>
          <w:rStyle w:val="Keyword"/>
        </w:rPr>
        <w:t>/Namespace</w:t>
      </w:r>
      <w:r>
        <w:t xml:space="preserve"> element shall be </w:t>
      </w:r>
      <w:r w:rsidRPr="00660957">
        <w:rPr>
          <w:rStyle w:val="Keyword"/>
        </w:rPr>
        <w:t>"</w:t>
      </w:r>
      <w:proofErr w:type="spellStart"/>
      <w:r>
        <w:rPr>
          <w:rStyle w:val="Keyword"/>
        </w:rPr>
        <w:t>smpte</w:t>
      </w:r>
      <w:proofErr w:type="gramStart"/>
      <w:r>
        <w:rPr>
          <w:rStyle w:val="Keyword"/>
        </w:rPr>
        <w:t>:imf</w:t>
      </w:r>
      <w:proofErr w:type="spellEnd"/>
      <w:proofErr w:type="gramEnd"/>
      <w:r w:rsidRPr="00660957">
        <w:rPr>
          <w:rStyle w:val="Keyword"/>
        </w:rPr>
        <w:t>"</w:t>
      </w:r>
      <w:r w:rsidRPr="00F80407">
        <w:t>.</w:t>
      </w:r>
    </w:p>
    <w:p w:rsidR="00132D6F" w:rsidRDefault="00132D6F" w:rsidP="00132D6F">
      <w:pPr>
        <w:pStyle w:val="Body"/>
      </w:pPr>
      <w:r>
        <w:t xml:space="preserve">The </w:t>
      </w:r>
      <w:proofErr w:type="spellStart"/>
      <w:r w:rsidRPr="00660957">
        <w:rPr>
          <w:rStyle w:val="Keyword"/>
        </w:rPr>
        <w:t>TrackIdentifier</w:t>
      </w:r>
      <w:proofErr w:type="spellEnd"/>
      <w:r>
        <w:rPr>
          <w:rStyle w:val="Keyword"/>
        </w:rPr>
        <w:t>/</w:t>
      </w:r>
      <w:r w:rsidRPr="00660957">
        <w:rPr>
          <w:rStyle w:val="Keyword"/>
        </w:rPr>
        <w:t>Identifier</w:t>
      </w:r>
      <w:r>
        <w:t xml:space="preserve"> element shall conform to the </w:t>
      </w:r>
      <w:r w:rsidRPr="003E76A7">
        <w:rPr>
          <w:rStyle w:val="Keyword"/>
        </w:rPr>
        <w:t>&lt;track-ref&gt;</w:t>
      </w:r>
      <w:r>
        <w:t xml:space="preserve"> syntax:</w:t>
      </w:r>
    </w:p>
    <w:p w:rsidR="00132D6F" w:rsidRDefault="00132D6F" w:rsidP="00132D6F">
      <w:pPr>
        <w:pStyle w:val="Verbatim"/>
        <w:rPr>
          <w:rStyle w:val="Keyword"/>
        </w:rPr>
      </w:pPr>
      <w:r>
        <w:t xml:space="preserve">&lt;track-ref&gt; ::= </w:t>
      </w:r>
      <w:r w:rsidRPr="002C4F5A">
        <w:rPr>
          <w:rStyle w:val="Keyword"/>
        </w:rPr>
        <w:t>"</w:t>
      </w:r>
      <w:r>
        <w:t>o</w:t>
      </w:r>
      <w:r w:rsidRPr="002C4F5A">
        <w:t>pls/</w:t>
      </w:r>
      <w:r w:rsidRPr="002C4F5A">
        <w:rPr>
          <w:rStyle w:val="Keyword"/>
        </w:rPr>
        <w:t>"</w:t>
      </w:r>
      <w:r w:rsidRPr="002C4F5A">
        <w:t xml:space="preserve"> </w:t>
      </w:r>
      <w:r>
        <w:rPr>
          <w:rStyle w:val="Keyword"/>
        </w:rPr>
        <w:t>&lt;opl-id&gt; "</w:t>
      </w:r>
      <w:r w:rsidRPr="007B23A6">
        <w:rPr>
          <w:rStyle w:val="Keyword"/>
        </w:rPr>
        <w:t>/</w:t>
      </w:r>
      <w:r>
        <w:rPr>
          <w:rStyle w:val="Keyword"/>
        </w:rPr>
        <w:t>" &lt;macro-output-handle&gt;</w:t>
      </w:r>
    </w:p>
    <w:p w:rsidR="00132D6F" w:rsidRDefault="00132D6F" w:rsidP="00132D6F">
      <w:pPr>
        <w:pStyle w:val="Verbatim"/>
      </w:pPr>
      <w:r w:rsidRPr="00660957">
        <w:t>&lt;</w:t>
      </w:r>
      <w:r>
        <w:t>opl</w:t>
      </w:r>
      <w:r w:rsidRPr="00660957">
        <w:t>-id&gt; ::= &lt;uuid&gt;</w:t>
      </w:r>
    </w:p>
    <w:p w:rsidR="00132D6F" w:rsidRDefault="00132D6F" w:rsidP="00132D6F">
      <w:pPr>
        <w:pStyle w:val="Body"/>
      </w:pPr>
      <w:proofErr w:type="gramStart"/>
      <w:r w:rsidRPr="00BA19B9">
        <w:t>where</w:t>
      </w:r>
      <w:proofErr w:type="gramEnd"/>
      <w:r w:rsidRPr="00BA19B9">
        <w:t xml:space="preserve"> </w:t>
      </w:r>
      <w:r w:rsidRPr="00A64EAF">
        <w:rPr>
          <w:rStyle w:val="Keyword"/>
        </w:rPr>
        <w:t>&lt;</w:t>
      </w:r>
      <w:proofErr w:type="spellStart"/>
      <w:r>
        <w:rPr>
          <w:rStyle w:val="Keyword"/>
        </w:rPr>
        <w:t>opl</w:t>
      </w:r>
      <w:proofErr w:type="spellEnd"/>
      <w:r w:rsidRPr="00A64EAF">
        <w:rPr>
          <w:rStyle w:val="Keyword"/>
        </w:rPr>
        <w:t>-id&gt;</w:t>
      </w:r>
      <w:r w:rsidRPr="00BA19B9">
        <w:t xml:space="preserve"> </w:t>
      </w:r>
      <w:r>
        <w:t>is</w:t>
      </w:r>
      <w:r w:rsidRPr="00BA19B9">
        <w:t xml:space="preserve"> the </w:t>
      </w:r>
      <w:r w:rsidRPr="00703A60">
        <w:rPr>
          <w:rStyle w:val="Keyword"/>
        </w:rPr>
        <w:t>Id</w:t>
      </w:r>
      <w:r w:rsidRPr="00BA19B9">
        <w:t xml:space="preserve"> of the </w:t>
      </w:r>
      <w:r>
        <w:t xml:space="preserve">Output Profile List and </w:t>
      </w:r>
      <w:r w:rsidRPr="00A64EAF">
        <w:rPr>
          <w:rStyle w:val="Keyword"/>
        </w:rPr>
        <w:t>&lt;</w:t>
      </w:r>
      <w:r>
        <w:rPr>
          <w:rStyle w:val="Keyword"/>
        </w:rPr>
        <w:t>macro-output-handle</w:t>
      </w:r>
      <w:r w:rsidRPr="00A64EAF">
        <w:rPr>
          <w:rStyle w:val="Keyword"/>
        </w:rPr>
        <w:t>&gt;</w:t>
      </w:r>
      <w:r>
        <w:t xml:space="preserve"> is the </w:t>
      </w:r>
      <w:r w:rsidRPr="00832E32">
        <w:t>Macro Instance Output</w:t>
      </w:r>
      <w:r>
        <w:t xml:space="preserve"> Handle, as specified in SMPTE ST 2067-100.</w:t>
      </w:r>
    </w:p>
    <w:p w:rsidR="00132D6F" w:rsidRPr="00BA19B9" w:rsidRDefault="00132D6F" w:rsidP="00132D6F">
      <w:pPr>
        <w:pStyle w:val="Body"/>
      </w:pPr>
      <w:r>
        <w:t xml:space="preserve">The </w:t>
      </w:r>
      <w:proofErr w:type="spellStart"/>
      <w:r w:rsidRPr="003E07A2">
        <w:rPr>
          <w:rStyle w:val="Keyword"/>
        </w:rPr>
        <w:t>TrackIdentifier</w:t>
      </w:r>
      <w:proofErr w:type="spellEnd"/>
      <w:r w:rsidRPr="003E07A2">
        <w:rPr>
          <w:rStyle w:val="Keyword"/>
        </w:rPr>
        <w:t>/Location</w:t>
      </w:r>
      <w:r>
        <w:t xml:space="preserve"> element is not used and should not be present.</w:t>
      </w:r>
    </w:p>
    <w:p w:rsidR="00132D6F" w:rsidRDefault="00132D6F" w:rsidP="00132D6F">
      <w:pPr>
        <w:pStyle w:val="Heading4"/>
      </w:pPr>
      <w:bookmarkStart w:id="102" w:name="_Toc421626275"/>
      <w:proofErr w:type="spellStart"/>
      <w:r w:rsidRPr="00735672">
        <w:rPr>
          <w:shd w:val="clear" w:color="auto" w:fill="FFFFFF"/>
        </w:rPr>
        <w:t>ContainerReference</w:t>
      </w:r>
      <w:bookmarkEnd w:id="102"/>
      <w:proofErr w:type="spellEnd"/>
    </w:p>
    <w:p w:rsidR="00132D6F" w:rsidRDefault="00132D6F" w:rsidP="00132D6F">
      <w:pPr>
        <w:pStyle w:val="Body"/>
      </w:pPr>
      <w:r>
        <w:t xml:space="preserve">If </w:t>
      </w:r>
      <w:r w:rsidRPr="00D411FB">
        <w:t>present</w:t>
      </w:r>
      <w:r>
        <w:rPr>
          <w:rStyle w:val="Keyword"/>
          <w:rFonts w:asciiTheme="minorHAnsi" w:hAnsiTheme="minorHAnsi" w:cs="Calibri"/>
          <w:sz w:val="22"/>
          <w:szCs w:val="22"/>
        </w:rPr>
        <w:t xml:space="preserve">, </w:t>
      </w:r>
      <w:r>
        <w:t xml:space="preserve">the </w:t>
      </w:r>
      <w:proofErr w:type="spellStart"/>
      <w:r w:rsidRPr="003E07A2">
        <w:rPr>
          <w:rStyle w:val="Keyword"/>
        </w:rPr>
        <w:t>ContainerReference</w:t>
      </w:r>
      <w:proofErr w:type="spellEnd"/>
      <w:r w:rsidRPr="00CA7693">
        <w:rPr>
          <w:rStyle w:val="Keyword"/>
          <w:rFonts w:asciiTheme="minorHAnsi" w:hAnsiTheme="minorHAnsi" w:cs="Calibri"/>
          <w:sz w:val="22"/>
          <w:szCs w:val="22"/>
        </w:rPr>
        <w:t xml:space="preserve"> </w:t>
      </w:r>
      <w:r w:rsidRPr="00D411FB">
        <w:t>element shall conform to</w:t>
      </w:r>
      <w:r>
        <w:t xml:space="preserve"> Section </w:t>
      </w:r>
      <w:r>
        <w:fldChar w:fldCharType="begin"/>
      </w:r>
      <w:r>
        <w:instrText xml:space="preserve"> REF _Ref384992701 \r \h  \* MERGEFORMAT </w:instrText>
      </w:r>
      <w:r>
        <w:fldChar w:fldCharType="separate"/>
      </w:r>
      <w:r>
        <w:t>3</w:t>
      </w:r>
      <w:r>
        <w:fldChar w:fldCharType="end"/>
      </w:r>
      <w:r>
        <w:t>.</w:t>
      </w:r>
    </w:p>
    <w:p w:rsidR="00132D6F" w:rsidRDefault="00132D6F" w:rsidP="00132D6F">
      <w:pPr>
        <w:pStyle w:val="Heading3"/>
      </w:pPr>
      <w:bookmarkStart w:id="103" w:name="_Ref421602759"/>
      <w:bookmarkStart w:id="104" w:name="_Toc421626276"/>
      <w:bookmarkStart w:id="105" w:name="_Toc442136563"/>
      <w:r>
        <w:t>Referencing</w:t>
      </w:r>
      <w:bookmarkStart w:id="106" w:name="_Ref384992701"/>
      <w:bookmarkStart w:id="107" w:name="_Ref385000420"/>
      <w:bookmarkStart w:id="108" w:name="_Ref385951398"/>
      <w:r>
        <w:t xml:space="preserve"> an IMF Container</w:t>
      </w:r>
      <w:bookmarkEnd w:id="103"/>
      <w:bookmarkEnd w:id="104"/>
      <w:bookmarkEnd w:id="106"/>
      <w:bookmarkEnd w:id="107"/>
      <w:bookmarkEnd w:id="108"/>
      <w:bookmarkEnd w:id="105"/>
    </w:p>
    <w:p w:rsidR="00132D6F" w:rsidRDefault="00132D6F" w:rsidP="00132D6F">
      <w:pPr>
        <w:pStyle w:val="Heading4"/>
      </w:pPr>
      <w:bookmarkStart w:id="109" w:name="_Toc421626277"/>
      <w:proofErr w:type="spellStart"/>
      <w:r>
        <w:t>ContainerLocation</w:t>
      </w:r>
      <w:bookmarkEnd w:id="109"/>
      <w:proofErr w:type="spellEnd"/>
    </w:p>
    <w:p w:rsidR="00132D6F" w:rsidRDefault="00132D6F" w:rsidP="00132D6F">
      <w:pPr>
        <w:pStyle w:val="Body"/>
      </w:pPr>
      <w:r>
        <w:t xml:space="preserve">The </w:t>
      </w:r>
      <w:proofErr w:type="spellStart"/>
      <w:r w:rsidRPr="002B37A5">
        <w:rPr>
          <w:rStyle w:val="Keyword"/>
        </w:rPr>
        <w:t>ContainerLocation</w:t>
      </w:r>
      <w:proofErr w:type="spellEnd"/>
      <w:r>
        <w:t xml:space="preserve"> element shall</w:t>
      </w:r>
      <w:r w:rsidRPr="00CD4A8F">
        <w:t xml:space="preserve"> </w:t>
      </w:r>
      <w:r>
        <w:t xml:space="preserve">reference the Asset Map document of a Mapped File Set </w:t>
      </w:r>
      <w:r w:rsidRPr="00D411FB">
        <w:t xml:space="preserve">that conforms to Section </w:t>
      </w:r>
      <w:r w:rsidRPr="00D411FB">
        <w:fldChar w:fldCharType="begin"/>
      </w:r>
      <w:r w:rsidRPr="00D411FB">
        <w:instrText xml:space="preserve"> REF _Ref385951771 \r \h </w:instrText>
      </w:r>
      <w:r>
        <w:instrText xml:space="preserve"> \* MERGEFORMAT </w:instrText>
      </w:r>
      <w:r w:rsidRPr="00D411FB">
        <w:fldChar w:fldCharType="separate"/>
      </w:r>
      <w:r>
        <w:t>4</w:t>
      </w:r>
      <w:r w:rsidRPr="00D411FB">
        <w:fldChar w:fldCharType="end"/>
      </w:r>
      <w:r>
        <w:t>, using either:</w:t>
      </w:r>
    </w:p>
    <w:p w:rsidR="00132D6F" w:rsidRPr="00D411FB" w:rsidRDefault="00132D6F" w:rsidP="00132D6F">
      <w:pPr>
        <w:pStyle w:val="BodyBullets"/>
        <w:numPr>
          <w:ilvl w:val="0"/>
          <w:numId w:val="28"/>
        </w:num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A</w:t>
      </w:r>
      <w:r w:rsidRPr="00D411FB">
        <w:rPr>
          <w:rFonts w:ascii="Times New Roman" w:hAnsi="Times New Roman" w:cs="Times New Roman"/>
          <w:sz w:val="24"/>
          <w:szCs w:val="24"/>
          <w:lang w:eastAsia="en-US"/>
        </w:rPr>
        <w:t xml:space="preserve"> relative-path reference, without query or fragment component, as specified in RFC 3986. The relative-path reference shall be resolved relative to the URI of the Common Manifest document. </w:t>
      </w:r>
    </w:p>
    <w:p w:rsidR="00132D6F" w:rsidRPr="00D411FB" w:rsidRDefault="00132D6F" w:rsidP="00132D6F">
      <w:pPr>
        <w:pStyle w:val="BodyBullets"/>
        <w:numPr>
          <w:ilvl w:val="0"/>
          <w:numId w:val="28"/>
        </w:num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A</w:t>
      </w:r>
      <w:r w:rsidRPr="00D411FB">
        <w:rPr>
          <w:rFonts w:ascii="Times New Roman" w:hAnsi="Times New Roman" w:cs="Times New Roman"/>
          <w:sz w:val="24"/>
          <w:szCs w:val="24"/>
          <w:lang w:eastAsia="en-US"/>
        </w:rPr>
        <w:t xml:space="preserve">n absolute-URI as specified in RFC 3986. One of the following schemes shall be used: "http" or "https". </w:t>
      </w:r>
    </w:p>
    <w:p w:rsidR="00132D6F" w:rsidRDefault="00132D6F" w:rsidP="00132D6F">
      <w:pPr>
        <w:pStyle w:val="Body"/>
      </w:pPr>
      <w:r>
        <w:t xml:space="preserve">The Mapped File Set </w:t>
      </w:r>
      <w:r w:rsidRPr="0004187B">
        <w:t xml:space="preserve">shall include all assets </w:t>
      </w:r>
      <w:r>
        <w:t>necessary to process the Common Manifest Inventory Asset.</w:t>
      </w:r>
    </w:p>
    <w:p w:rsidR="00132D6F" w:rsidRDefault="00132D6F" w:rsidP="00132D6F">
      <w:pPr>
        <w:pStyle w:val="Heading4"/>
      </w:pPr>
      <w:bookmarkStart w:id="110" w:name="_Ref385952145"/>
      <w:bookmarkStart w:id="111" w:name="_Toc421626278"/>
      <w:proofErr w:type="spellStart"/>
      <w:r>
        <w:t>ContainerIdentifier</w:t>
      </w:r>
      <w:bookmarkEnd w:id="110"/>
      <w:bookmarkEnd w:id="111"/>
      <w:proofErr w:type="spellEnd"/>
    </w:p>
    <w:p w:rsidR="00132D6F" w:rsidRDefault="00132D6F" w:rsidP="00132D6F">
      <w:pPr>
        <w:pStyle w:val="Body"/>
      </w:pPr>
      <w:r>
        <w:t xml:space="preserve">The </w:t>
      </w:r>
      <w:proofErr w:type="spellStart"/>
      <w:r w:rsidRPr="00E450CE">
        <w:rPr>
          <w:rStyle w:val="Keyword"/>
        </w:rPr>
        <w:t>ContainerIdentifier</w:t>
      </w:r>
      <w:proofErr w:type="spellEnd"/>
      <w:r w:rsidRPr="0000371D">
        <w:t xml:space="preserve"> </w:t>
      </w:r>
      <w:r>
        <w:t xml:space="preserve">element is not used and should not be present. </w:t>
      </w:r>
    </w:p>
    <w:p w:rsidR="00132D6F" w:rsidRDefault="00132D6F" w:rsidP="00132D6F">
      <w:pPr>
        <w:pStyle w:val="Heading4"/>
      </w:pPr>
      <w:bookmarkStart w:id="112" w:name="_Toc421626279"/>
      <w:proofErr w:type="spellStart"/>
      <w:r>
        <w:t>ParentContainer</w:t>
      </w:r>
      <w:bookmarkEnd w:id="112"/>
      <w:proofErr w:type="spellEnd"/>
    </w:p>
    <w:p w:rsidR="00132D6F" w:rsidRDefault="00132D6F" w:rsidP="00132D6F">
      <w:pPr>
        <w:pStyle w:val="Body"/>
      </w:pPr>
      <w:r>
        <w:t xml:space="preserve">The </w:t>
      </w:r>
      <w:proofErr w:type="spellStart"/>
      <w:r w:rsidRPr="009B2EA5">
        <w:rPr>
          <w:rStyle w:val="Keyword"/>
        </w:rPr>
        <w:t>ParentContainer</w:t>
      </w:r>
      <w:proofErr w:type="spellEnd"/>
      <w:r>
        <w:t xml:space="preserve"> element is not used and should not be present. </w:t>
      </w:r>
    </w:p>
    <w:p w:rsidR="00132D6F" w:rsidRDefault="00132D6F" w:rsidP="00132D6F">
      <w:pPr>
        <w:pStyle w:val="Heading3"/>
      </w:pPr>
      <w:bookmarkStart w:id="113" w:name="_Ref385951771"/>
      <w:bookmarkStart w:id="114" w:name="_Ref385952017"/>
      <w:bookmarkStart w:id="115" w:name="_Toc421626280"/>
      <w:bookmarkStart w:id="116" w:name="_Toc442136564"/>
      <w:r>
        <w:t xml:space="preserve">IMF </w:t>
      </w:r>
      <w:bookmarkEnd w:id="113"/>
      <w:bookmarkEnd w:id="114"/>
      <w:r>
        <w:t>Mapped File Set</w:t>
      </w:r>
      <w:bookmarkEnd w:id="115"/>
      <w:bookmarkEnd w:id="116"/>
    </w:p>
    <w:p w:rsidR="00132D6F" w:rsidRPr="001E3D07" w:rsidRDefault="00132D6F" w:rsidP="00132D6F">
      <w:pPr>
        <w:pStyle w:val="Heading4"/>
      </w:pPr>
      <w:bookmarkStart w:id="117" w:name="_Toc421626281"/>
      <w:r w:rsidRPr="001E3D07">
        <w:t>General</w:t>
      </w:r>
      <w:bookmarkEnd w:id="117"/>
      <w:r w:rsidRPr="001E3D07">
        <w:t xml:space="preserve"> </w:t>
      </w:r>
    </w:p>
    <w:p w:rsidR="00132D6F" w:rsidRPr="001E3D07" w:rsidRDefault="00132D6F" w:rsidP="00132D6F">
      <w:pPr>
        <w:pStyle w:val="Body"/>
      </w:pPr>
      <w:r>
        <w:t xml:space="preserve">IMF assets are delivered using the </w:t>
      </w:r>
      <w:r w:rsidRPr="00AC26E3">
        <w:t>Asset Map mechanism specified in SMPTE ST 429-9</w:t>
      </w:r>
      <w:r>
        <w:t xml:space="preserve">. The following defines a Mapped </w:t>
      </w:r>
      <w:r w:rsidRPr="001E3D07">
        <w:rPr>
          <w:lang w:val="x-none"/>
        </w:rPr>
        <w:t>File Set</w:t>
      </w:r>
      <w:r>
        <w:t xml:space="preserve"> (see Section 9 of SMPTE ST 429-9) for use with</w:t>
      </w:r>
      <w:r w:rsidRPr="00AC26E3">
        <w:t xml:space="preserve"> Common Manifest</w:t>
      </w:r>
      <w:r>
        <w:t xml:space="preserve"> deliveries</w:t>
      </w:r>
      <w:r w:rsidRPr="001E3D07">
        <w:rPr>
          <w:lang w:val="x-none"/>
        </w:rPr>
        <w:t>.</w:t>
      </w:r>
    </w:p>
    <w:p w:rsidR="00132D6F" w:rsidRPr="001E3D07" w:rsidRDefault="00132D6F" w:rsidP="00132D6F">
      <w:pPr>
        <w:pStyle w:val="Heading4"/>
      </w:pPr>
      <w:bookmarkStart w:id="118" w:name="_Toc421626282"/>
      <w:r w:rsidRPr="001E3D07">
        <w:t xml:space="preserve">Asset Map </w:t>
      </w:r>
      <w:r>
        <w:t>Document Location</w:t>
      </w:r>
      <w:bookmarkEnd w:id="118"/>
    </w:p>
    <w:p w:rsidR="00132D6F" w:rsidRPr="00C210C5" w:rsidRDefault="00132D6F" w:rsidP="00132D6F">
      <w:pPr>
        <w:pStyle w:val="Body"/>
      </w:pPr>
      <w:r w:rsidRPr="001E3D07">
        <w:t xml:space="preserve">The Asset Map document shall be identified by an absolute-URI </w:t>
      </w:r>
      <w:r>
        <w:t>whose</w:t>
      </w:r>
      <w:r w:rsidRPr="001E3D07">
        <w:t xml:space="preserve"> last path segment </w:t>
      </w:r>
      <w:r>
        <w:t>is</w:t>
      </w:r>
      <w:r w:rsidRPr="001E3D07">
        <w:t xml:space="preserve"> equal </w:t>
      </w:r>
      <w:r w:rsidRPr="00C210C5">
        <w:t xml:space="preserve">to </w:t>
      </w:r>
      <w:r w:rsidRPr="00DA06A4">
        <w:rPr>
          <w:rFonts w:ascii="Courier New" w:hAnsi="Courier New" w:cs="Calibri"/>
          <w:color w:val="000000"/>
          <w:sz w:val="18"/>
          <w:szCs w:val="18"/>
          <w:lang w:eastAsia="ar-SA"/>
        </w:rPr>
        <w:t>"ASSETMAP.xml"</w:t>
      </w:r>
      <w:r w:rsidRPr="00C210C5">
        <w:t>.</w:t>
      </w:r>
    </w:p>
    <w:p w:rsidR="00132D6F" w:rsidRPr="001E3D07" w:rsidRDefault="00132D6F" w:rsidP="00132D6F">
      <w:pPr>
        <w:pStyle w:val="Heading4"/>
      </w:pPr>
      <w:bookmarkStart w:id="119" w:name="_Toc421626283"/>
      <w:r>
        <w:t xml:space="preserve">Asset Map Document </w:t>
      </w:r>
      <w:r w:rsidRPr="001E3D07">
        <w:t>Encoding</w:t>
      </w:r>
      <w:bookmarkEnd w:id="119"/>
    </w:p>
    <w:p w:rsidR="00132D6F" w:rsidRPr="00C210C5" w:rsidRDefault="00132D6F" w:rsidP="00132D6F">
      <w:pPr>
        <w:pStyle w:val="Body"/>
      </w:pPr>
      <w:r w:rsidRPr="00C210C5">
        <w:t>The Asset Map document shall be encoded using UTF-8 as specified in W3C Extensible Markup Language 1.0</w:t>
      </w:r>
    </w:p>
    <w:p w:rsidR="00132D6F" w:rsidRPr="001E3D07" w:rsidRDefault="00132D6F" w:rsidP="00132D6F">
      <w:pPr>
        <w:pStyle w:val="Heading4"/>
      </w:pPr>
      <w:bookmarkStart w:id="120" w:name="_Toc421626284"/>
      <w:r w:rsidRPr="001E3D07">
        <w:t>Asset Location and Path Constraints</w:t>
      </w:r>
      <w:bookmarkEnd w:id="120"/>
    </w:p>
    <w:p w:rsidR="00132D6F" w:rsidRPr="00C210C5" w:rsidRDefault="00132D6F" w:rsidP="00132D6F">
      <w:pPr>
        <w:pStyle w:val="Body"/>
      </w:pPr>
      <w:r w:rsidRPr="00C210C5">
        <w:t>Each Path element of the Asset Map shall be a relative-path reference as specified in RFC 3986. No query or fragment component shall be present.</w:t>
      </w:r>
    </w:p>
    <w:p w:rsidR="00132D6F" w:rsidRPr="00DA06A4" w:rsidRDefault="00132D6F" w:rsidP="00132D6F">
      <w:pPr>
        <w:pStyle w:val="Body"/>
        <w:rPr>
          <w:rFonts w:cs="Calibri"/>
          <w:lang w:eastAsia="ar-SA"/>
        </w:rPr>
      </w:pPr>
      <w:r w:rsidRPr="00C210C5">
        <w:t xml:space="preserve">Each Asset referenced by the Asset Map shall be identified </w:t>
      </w:r>
      <w:r w:rsidRPr="006505D6">
        <w:t xml:space="preserve">by an </w:t>
      </w:r>
      <w:r w:rsidRPr="0026447D">
        <w:t>absolute-URI constructed by resolving, as specified in RFC 3986, it</w:t>
      </w:r>
      <w:r w:rsidRPr="00DA06A4">
        <w:rPr>
          <w:rFonts w:cs="Calibri"/>
          <w:lang w:eastAsia="ar-SA"/>
        </w:rPr>
        <w:t>s Path element relative to the Asset Map URI.</w:t>
      </w:r>
    </w:p>
    <w:p w:rsidR="00132D6F" w:rsidRPr="00DA06A4" w:rsidRDefault="00132D6F" w:rsidP="00132D6F">
      <w:pPr>
        <w:pStyle w:val="Body"/>
        <w:rPr>
          <w:rFonts w:cs="Calibri"/>
          <w:lang w:eastAsia="ar-SA"/>
        </w:rPr>
      </w:pPr>
      <w:r w:rsidRPr="00DA06A4">
        <w:rPr>
          <w:rFonts w:cs="Calibri"/>
          <w:lang w:eastAsia="ar-SA"/>
        </w:rPr>
        <w:t>Every location traversed by this resolved relative-path reference shall be at the same or deeper hierarchical level than the Asset Map URI.</w:t>
      </w:r>
    </w:p>
    <w:p w:rsidR="00132D6F" w:rsidRPr="001E3D07" w:rsidRDefault="00132D6F" w:rsidP="00132D6F">
      <w:pPr>
        <w:pStyle w:val="Body"/>
      </w:pPr>
      <w:r w:rsidRPr="001E3D07">
        <w:t xml:space="preserve">Each path segment, as specified in IETF RFC 3986, shall consist of characters from the set </w:t>
      </w:r>
      <w:r w:rsidRPr="001E3D07">
        <w:rPr>
          <w:rFonts w:ascii="Courier New" w:hAnsi="Courier New" w:cs="Courier New"/>
          <w:color w:val="000000"/>
          <w:sz w:val="18"/>
          <w:szCs w:val="18"/>
          <w:shd w:val="clear" w:color="auto" w:fill="FFFFFF"/>
        </w:rPr>
        <w:t>a-z</w:t>
      </w:r>
      <w:r w:rsidRPr="001E3D07">
        <w:t xml:space="preserve">, </w:t>
      </w:r>
      <w:r w:rsidRPr="001E3D07">
        <w:rPr>
          <w:rFonts w:ascii="Courier New" w:hAnsi="Courier New" w:cs="Courier New"/>
          <w:color w:val="000000"/>
          <w:sz w:val="18"/>
          <w:szCs w:val="18"/>
          <w:shd w:val="clear" w:color="auto" w:fill="FFFFFF"/>
        </w:rPr>
        <w:t>A-Z</w:t>
      </w:r>
      <w:r w:rsidRPr="001E3D07">
        <w:t xml:space="preserve">, </w:t>
      </w:r>
      <w:r w:rsidRPr="001E3D07">
        <w:rPr>
          <w:rFonts w:ascii="Courier New" w:hAnsi="Courier New" w:cs="Courier New"/>
          <w:color w:val="000000"/>
          <w:sz w:val="18"/>
          <w:szCs w:val="18"/>
          <w:shd w:val="clear" w:color="auto" w:fill="FFFFFF"/>
        </w:rPr>
        <w:t>0-9</w:t>
      </w:r>
      <w:r w:rsidRPr="001E3D07">
        <w:t xml:space="preserve">, </w:t>
      </w:r>
      <w:r>
        <w:rPr>
          <w:rFonts w:ascii="Courier New" w:hAnsi="Courier New" w:cs="Courier New"/>
          <w:color w:val="000000"/>
          <w:sz w:val="18"/>
          <w:szCs w:val="18"/>
          <w:shd w:val="clear" w:color="auto" w:fill="FFFFFF"/>
        </w:rPr>
        <w:t>"</w:t>
      </w:r>
      <w:r w:rsidRPr="001E3D07">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r w:rsidRPr="001E3D07">
        <w:t xml:space="preserve"> (dash), </w:t>
      </w:r>
      <w:r>
        <w:rPr>
          <w:rFonts w:ascii="Courier New" w:hAnsi="Courier New" w:cs="Courier New"/>
          <w:color w:val="000000"/>
          <w:sz w:val="18"/>
          <w:szCs w:val="18"/>
          <w:shd w:val="clear" w:color="auto" w:fill="FFFFFF"/>
        </w:rPr>
        <w:t>"</w:t>
      </w:r>
      <w:r w:rsidRPr="001E3D07">
        <w:rPr>
          <w:rFonts w:ascii="Courier New" w:hAnsi="Courier New" w:cs="Courier New"/>
          <w:color w:val="000000"/>
          <w:sz w:val="18"/>
          <w:szCs w:val="18"/>
          <w:shd w:val="clear" w:color="auto" w:fill="FFFFFF"/>
        </w:rPr>
        <w:t>_</w:t>
      </w:r>
      <w:r>
        <w:rPr>
          <w:rFonts w:ascii="Courier New" w:hAnsi="Courier New" w:cs="Courier New"/>
          <w:color w:val="000000"/>
          <w:sz w:val="18"/>
          <w:szCs w:val="18"/>
          <w:shd w:val="clear" w:color="auto" w:fill="FFFFFF"/>
        </w:rPr>
        <w:t>"</w:t>
      </w:r>
      <w:r w:rsidRPr="001E3D07">
        <w:t xml:space="preserve"> (underscore) and </w:t>
      </w:r>
      <w:r>
        <w:rPr>
          <w:rFonts w:ascii="Courier New" w:hAnsi="Courier New" w:cs="Courier New"/>
          <w:color w:val="000000"/>
          <w:sz w:val="18"/>
          <w:szCs w:val="18"/>
          <w:shd w:val="clear" w:color="auto" w:fill="FFFFFF"/>
        </w:rPr>
        <w:t>"</w:t>
      </w:r>
      <w:r w:rsidRPr="001E3D07">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r w:rsidRPr="001E3D07">
        <w:t xml:space="preserve"> (</w:t>
      </w:r>
      <w:proofErr w:type="gramStart"/>
      <w:r w:rsidRPr="001E3D07">
        <w:t>period</w:t>
      </w:r>
      <w:proofErr w:type="gramEnd"/>
      <w:r w:rsidRPr="001E3D07">
        <w:t>). No segment shall have more than 128 characters, and the value of the Path element shall not exceed 1024 characters in length.</w:t>
      </w:r>
    </w:p>
    <w:p w:rsidR="00132D6F" w:rsidRPr="001E3D07" w:rsidRDefault="00132D6F" w:rsidP="00132D6F">
      <w:pPr>
        <w:pStyle w:val="Body"/>
      </w:pPr>
      <w:r w:rsidRPr="001E3D07">
        <w:t>A Path element value shall have no more than 10 segments.</w:t>
      </w:r>
    </w:p>
    <w:p w:rsidR="00132D6F" w:rsidRPr="001E3D07" w:rsidRDefault="00132D6F" w:rsidP="00132D6F">
      <w:pPr>
        <w:pStyle w:val="Body"/>
      </w:pPr>
      <w:r w:rsidRPr="001E3D07">
        <w:t>No two paths in an Asset Map shall have identical values, regardless of case.</w:t>
      </w:r>
    </w:p>
    <w:p w:rsidR="00132D6F" w:rsidRPr="001E3D07" w:rsidRDefault="00132D6F" w:rsidP="00132D6F">
      <w:pPr>
        <w:pStyle w:val="Heading4"/>
      </w:pPr>
      <w:bookmarkStart w:id="121" w:name="_Toc421626285"/>
      <w:r w:rsidRPr="001E3D07">
        <w:t>Retrieving Resources</w:t>
      </w:r>
      <w:bookmarkEnd w:id="121"/>
    </w:p>
    <w:p w:rsidR="00132D6F" w:rsidRPr="001E3D07" w:rsidRDefault="00132D6F" w:rsidP="00132D6F">
      <w:pPr>
        <w:pStyle w:val="Body"/>
      </w:pPr>
      <w:r w:rsidRPr="006505D6">
        <w:t xml:space="preserve">The resources identified by a URI using the </w:t>
      </w:r>
      <w:r w:rsidRPr="00DA06A4">
        <w:rPr>
          <w:rFonts w:ascii="Courier New" w:hAnsi="Courier New" w:cs="Courier New"/>
          <w:color w:val="000000"/>
          <w:sz w:val="18"/>
          <w:szCs w:val="18"/>
          <w:lang w:eastAsia="ar-SA"/>
        </w:rPr>
        <w:t>"http"</w:t>
      </w:r>
      <w:r w:rsidRPr="006505D6">
        <w:t xml:space="preserve"> or </w:t>
      </w:r>
      <w:r w:rsidRPr="00DA06A4">
        <w:rPr>
          <w:rFonts w:ascii="Courier New" w:hAnsi="Courier New" w:cs="Courier New"/>
          <w:color w:val="000000"/>
          <w:sz w:val="18"/>
          <w:szCs w:val="18"/>
          <w:lang w:eastAsia="ar-SA"/>
        </w:rPr>
        <w:t>"https"</w:t>
      </w:r>
      <w:r w:rsidRPr="006505D6">
        <w:t xml:space="preserve"> schemes shall be retrieved as the</w:t>
      </w:r>
      <w:r w:rsidRPr="001E3D07">
        <w:t xml:space="preserve"> response to a </w:t>
      </w:r>
      <w:r w:rsidRPr="001E3D07">
        <w:rPr>
          <w:rFonts w:ascii="Courier New" w:hAnsi="Courier New" w:cs="Courier New"/>
          <w:color w:val="000000"/>
          <w:sz w:val="18"/>
          <w:szCs w:val="18"/>
          <w:shd w:val="clear" w:color="auto" w:fill="FFFFFF"/>
        </w:rPr>
        <w:t>GET</w:t>
      </w:r>
      <w:r w:rsidRPr="001E3D07">
        <w:t xml:space="preserve"> request to the URI.</w:t>
      </w:r>
    </w:p>
    <w:bookmarkEnd w:id="1"/>
    <w:bookmarkEnd w:id="2"/>
    <w:p w:rsidR="00980356" w:rsidRPr="00980356" w:rsidRDefault="00980356" w:rsidP="00132D6F">
      <w:pPr>
        <w:pStyle w:val="Body"/>
        <w:ind w:firstLine="0"/>
      </w:pPr>
    </w:p>
    <w:sectPr w:rsidR="00980356" w:rsidRPr="00980356"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6F" w:rsidRDefault="00132D6F">
      <w:r>
        <w:separator/>
      </w:r>
    </w:p>
  </w:endnote>
  <w:endnote w:type="continuationSeparator" w:id="0">
    <w:p w:rsidR="00132D6F" w:rsidRDefault="0013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6F" w:rsidRDefault="00132D6F"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7728" behindDoc="0" locked="0" layoutInCell="1" allowOverlap="1" wp14:anchorId="0A170FCA" wp14:editId="31C55E26">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AF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E17006">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6F" w:rsidRDefault="00132D6F">
      <w:r>
        <w:separator/>
      </w:r>
    </w:p>
  </w:footnote>
  <w:footnote w:type="continuationSeparator" w:id="0">
    <w:p w:rsidR="00132D6F" w:rsidRDefault="0013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0"/>
      <w:gridCol w:w="360"/>
      <w:gridCol w:w="4860"/>
      <w:gridCol w:w="2880"/>
    </w:tblGrid>
    <w:tr w:rsidR="00132D6F" w:rsidRPr="00A735F3" w:rsidTr="00066146">
      <w:trPr>
        <w:cantSplit/>
        <w:trHeight w:val="638"/>
      </w:trPr>
      <w:tc>
        <w:tcPr>
          <w:tcW w:w="3330" w:type="dxa"/>
          <w:vMerge w:val="restart"/>
          <w:tcBorders>
            <w:top w:val="nil"/>
            <w:left w:val="nil"/>
            <w:bottom w:val="single" w:sz="6" w:space="0" w:color="auto"/>
            <w:right w:val="nil"/>
          </w:tcBorders>
        </w:tcPr>
        <w:p w:rsidR="00132D6F" w:rsidRDefault="00132D6F" w:rsidP="009C70E5">
          <w:pPr>
            <w:pStyle w:val="Header"/>
            <w:ind w:right="-108"/>
            <w:jc w:val="left"/>
          </w:pPr>
          <w:r>
            <w:rPr>
              <w:noProof/>
            </w:rPr>
            <w:drawing>
              <wp:inline distT="0" distB="0" distL="0" distR="0" wp14:anchorId="5D89F7DD" wp14:editId="10F6AFAE">
                <wp:extent cx="1156252" cy="466558"/>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360" w:type="dxa"/>
          <w:vMerge w:val="restart"/>
          <w:tcBorders>
            <w:top w:val="nil"/>
            <w:left w:val="nil"/>
            <w:bottom w:val="nil"/>
            <w:right w:val="nil"/>
          </w:tcBorders>
          <w:vAlign w:val="center"/>
        </w:tcPr>
        <w:p w:rsidR="00132D6F" w:rsidRPr="00944D81" w:rsidRDefault="00132D6F" w:rsidP="00371470">
          <w:pPr>
            <w:pStyle w:val="Header"/>
            <w:rPr>
              <w:b/>
              <w:bCs/>
              <w:color w:val="FF0000"/>
            </w:rPr>
          </w:pPr>
        </w:p>
      </w:tc>
      <w:tc>
        <w:tcPr>
          <w:tcW w:w="4860" w:type="dxa"/>
          <w:vMerge w:val="restart"/>
          <w:tcBorders>
            <w:top w:val="nil"/>
            <w:left w:val="nil"/>
            <w:bottom w:val="nil"/>
            <w:right w:val="nil"/>
          </w:tcBorders>
        </w:tcPr>
        <w:p w:rsidR="00132D6F" w:rsidRPr="00203A14" w:rsidRDefault="00132D6F" w:rsidP="004E7698">
          <w:pPr>
            <w:pStyle w:val="Header"/>
            <w:ind w:left="-576"/>
            <w:jc w:val="center"/>
            <w:rPr>
              <w:b/>
              <w:sz w:val="44"/>
              <w:szCs w:val="24"/>
              <w:lang w:val="en-GB"/>
            </w:rPr>
          </w:pPr>
          <w:r w:rsidRPr="00704765">
            <w:rPr>
              <w:b/>
              <w:sz w:val="36"/>
              <w:szCs w:val="24"/>
              <w:lang w:val="en-GB"/>
            </w:rPr>
            <w:t xml:space="preserve">Media Manifest </w:t>
          </w:r>
          <w:r w:rsidRPr="00704765">
            <w:rPr>
              <w:b/>
              <w:sz w:val="36"/>
              <w:szCs w:val="24"/>
              <w:lang w:val="en-GB"/>
            </w:rPr>
            <w:br/>
          </w:r>
          <w:r>
            <w:rPr>
              <w:b/>
              <w:sz w:val="36"/>
              <w:szCs w:val="24"/>
              <w:lang w:val="en-GB"/>
            </w:rPr>
            <w:t xml:space="preserve">Product Definition </w:t>
          </w:r>
          <w:r w:rsidRPr="004E7698">
            <w:rPr>
              <w:b/>
              <w:color w:val="FF0000"/>
              <w:sz w:val="32"/>
              <w:szCs w:val="24"/>
              <w:lang w:val="en-GB"/>
            </w:rPr>
            <w:t>DRAFT</w:t>
          </w:r>
        </w:p>
      </w:tc>
      <w:tc>
        <w:tcPr>
          <w:tcW w:w="2880" w:type="dxa"/>
          <w:tcBorders>
            <w:top w:val="nil"/>
            <w:left w:val="nil"/>
            <w:bottom w:val="nil"/>
            <w:right w:val="nil"/>
          </w:tcBorders>
        </w:tcPr>
        <w:p w:rsidR="00132D6F" w:rsidRPr="00596C35" w:rsidRDefault="00132D6F" w:rsidP="00371470">
          <w:pPr>
            <w:pStyle w:val="Header"/>
            <w:tabs>
              <w:tab w:val="left" w:pos="552"/>
            </w:tabs>
            <w:jc w:val="left"/>
            <w:rPr>
              <w:b/>
            </w:rPr>
          </w:pPr>
          <w:r>
            <w:rPr>
              <w:b/>
            </w:rPr>
            <w:t xml:space="preserve">Ref:      </w:t>
          </w:r>
          <w:r w:rsidRPr="00596C35">
            <w:rPr>
              <w:b/>
            </w:rPr>
            <w:t xml:space="preserve"> </w:t>
          </w:r>
          <w:r>
            <w:rPr>
              <w:b/>
            </w:rPr>
            <w:t xml:space="preserve"> </w:t>
          </w:r>
          <w:r w:rsidRPr="00596C35">
            <w:rPr>
              <w:b/>
            </w:rPr>
            <w:t xml:space="preserve"> </w:t>
          </w:r>
          <w:r>
            <w:rPr>
              <w:b/>
            </w:rPr>
            <w:t xml:space="preserve"> </w:t>
          </w:r>
          <w:r w:rsidRPr="00596C35">
            <w:rPr>
              <w:b/>
            </w:rPr>
            <w:t>TR-META-</w:t>
          </w:r>
          <w:r>
            <w:rPr>
              <w:b/>
            </w:rPr>
            <w:t>MPD</w:t>
          </w:r>
        </w:p>
        <w:p w:rsidR="00132D6F" w:rsidRPr="00596C35" w:rsidRDefault="00132D6F" w:rsidP="00371470">
          <w:pPr>
            <w:pStyle w:val="Header"/>
            <w:tabs>
              <w:tab w:val="left" w:pos="552"/>
            </w:tabs>
            <w:jc w:val="left"/>
            <w:rPr>
              <w:b/>
            </w:rPr>
          </w:pPr>
          <w:r w:rsidRPr="00596C35">
            <w:rPr>
              <w:b/>
            </w:rPr>
            <w:t xml:space="preserve">Version    </w:t>
          </w:r>
          <w:r>
            <w:rPr>
              <w:b/>
            </w:rPr>
            <w:t xml:space="preserve">   v1.0 - DRAFT</w:t>
          </w:r>
        </w:p>
        <w:p w:rsidR="00132D6F" w:rsidRDefault="00132D6F" w:rsidP="00132D6F">
          <w:pPr>
            <w:pStyle w:val="Header"/>
            <w:tabs>
              <w:tab w:val="left" w:pos="552"/>
            </w:tabs>
            <w:jc w:val="left"/>
            <w:rPr>
              <w:lang w:val="fr-FR"/>
            </w:rPr>
          </w:pPr>
          <w:r>
            <w:rPr>
              <w:b/>
            </w:rPr>
            <w:t>Date:     February 2,</w:t>
          </w:r>
          <w:r w:rsidRPr="00596C35">
            <w:rPr>
              <w:b/>
            </w:rPr>
            <w:t xml:space="preserve"> 201</w:t>
          </w:r>
          <w:r>
            <w:rPr>
              <w:b/>
            </w:rPr>
            <w:t>6</w:t>
          </w:r>
        </w:p>
      </w:tc>
    </w:tr>
    <w:tr w:rsidR="00132D6F" w:rsidRPr="00A735F3" w:rsidTr="00066146">
      <w:trPr>
        <w:cantSplit/>
        <w:trHeight w:val="196"/>
      </w:trPr>
      <w:tc>
        <w:tcPr>
          <w:tcW w:w="3330" w:type="dxa"/>
          <w:vMerge/>
          <w:tcBorders>
            <w:top w:val="single" w:sz="6" w:space="0" w:color="auto"/>
            <w:left w:val="nil"/>
            <w:bottom w:val="nil"/>
            <w:right w:val="nil"/>
          </w:tcBorders>
        </w:tcPr>
        <w:p w:rsidR="00132D6F" w:rsidRPr="00A735F3" w:rsidRDefault="00132D6F" w:rsidP="009F77AC">
          <w:pPr>
            <w:pStyle w:val="Header"/>
            <w:ind w:right="-108"/>
            <w:jc w:val="left"/>
            <w:rPr>
              <w:lang w:val="fr-FR"/>
            </w:rPr>
          </w:pPr>
        </w:p>
      </w:tc>
      <w:tc>
        <w:tcPr>
          <w:tcW w:w="360" w:type="dxa"/>
          <w:vMerge/>
          <w:tcBorders>
            <w:top w:val="nil"/>
            <w:left w:val="nil"/>
            <w:bottom w:val="nil"/>
            <w:right w:val="nil"/>
          </w:tcBorders>
        </w:tcPr>
        <w:p w:rsidR="00132D6F" w:rsidRPr="00A735F3" w:rsidRDefault="00132D6F" w:rsidP="009F77AC">
          <w:pPr>
            <w:pStyle w:val="Header"/>
            <w:jc w:val="right"/>
            <w:rPr>
              <w:lang w:val="fr-FR"/>
            </w:rPr>
          </w:pPr>
        </w:p>
      </w:tc>
      <w:tc>
        <w:tcPr>
          <w:tcW w:w="4860" w:type="dxa"/>
          <w:vMerge/>
          <w:tcBorders>
            <w:top w:val="nil"/>
            <w:left w:val="nil"/>
            <w:bottom w:val="nil"/>
            <w:right w:val="nil"/>
          </w:tcBorders>
        </w:tcPr>
        <w:p w:rsidR="00132D6F" w:rsidRPr="00A735F3" w:rsidRDefault="00132D6F" w:rsidP="00066146">
          <w:pPr>
            <w:pStyle w:val="Header"/>
            <w:jc w:val="center"/>
            <w:rPr>
              <w:lang w:val="fr-FR"/>
            </w:rPr>
          </w:pPr>
        </w:p>
      </w:tc>
      <w:tc>
        <w:tcPr>
          <w:tcW w:w="2880" w:type="dxa"/>
          <w:tcBorders>
            <w:top w:val="nil"/>
            <w:left w:val="nil"/>
            <w:bottom w:val="nil"/>
            <w:right w:val="nil"/>
          </w:tcBorders>
        </w:tcPr>
        <w:p w:rsidR="00132D6F" w:rsidRPr="00A735F3" w:rsidRDefault="00132D6F" w:rsidP="00371470">
          <w:pPr>
            <w:pStyle w:val="Header"/>
            <w:rPr>
              <w:lang w:val="fr-FR"/>
            </w:rPr>
          </w:pPr>
        </w:p>
      </w:tc>
    </w:tr>
  </w:tbl>
  <w:p w:rsidR="00132D6F" w:rsidRDefault="00132D6F" w:rsidP="009F77AC">
    <w:pPr>
      <w:pStyle w:val="Header"/>
      <w:jc w:val="left"/>
    </w:pPr>
    <w:sdt>
      <w:sdtPr>
        <w:id w:val="89462251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5698222" wp14:editId="5BB22153">
              <wp:simplePos x="0" y="0"/>
              <wp:positionH relativeFrom="page">
                <wp:align>center</wp:align>
              </wp:positionH>
              <wp:positionV relativeFrom="margin">
                <wp:posOffset>-268861</wp:posOffset>
              </wp:positionV>
              <wp:extent cx="7143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81C0" id="Line 2"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 from="0,-21.15pt" to="5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" o:allowincell="f" strokeweight="1.5pt">
              <w10:wrap anchorx="page"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62A59"/>
    <w:multiLevelType w:val="multilevel"/>
    <w:tmpl w:val="89C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96E2E"/>
    <w:multiLevelType w:val="hybridMultilevel"/>
    <w:tmpl w:val="757C73A0"/>
    <w:lvl w:ilvl="0" w:tplc="0409000F">
      <w:start w:val="1"/>
      <w:numFmt w:val="decimal"/>
      <w:lvlText w:val="%1."/>
      <w:lvlJc w:val="left"/>
      <w:pPr>
        <w:ind w:left="1440" w:hanging="360"/>
      </w:pPr>
    </w:lvl>
    <w:lvl w:ilvl="1" w:tplc="FBEADE1C">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B105A"/>
    <w:multiLevelType w:val="multilevel"/>
    <w:tmpl w:val="D62E55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8535145"/>
    <w:multiLevelType w:val="hybridMultilevel"/>
    <w:tmpl w:val="0DF85380"/>
    <w:lvl w:ilvl="0" w:tplc="0409000F">
      <w:start w:val="1"/>
      <w:numFmt w:val="decimal"/>
      <w:lvlText w:val="%1."/>
      <w:lvlJc w:val="left"/>
      <w:pPr>
        <w:ind w:left="1440" w:hanging="360"/>
      </w:pPr>
    </w:lvl>
    <w:lvl w:ilvl="1" w:tplc="FBEADE1C">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C5C20"/>
    <w:multiLevelType w:val="hybridMultilevel"/>
    <w:tmpl w:val="EE885E66"/>
    <w:lvl w:ilvl="0" w:tplc="0409000F">
      <w:start w:val="1"/>
      <w:numFmt w:val="decimal"/>
      <w:lvlText w:val="%1."/>
      <w:lvlJc w:val="left"/>
      <w:pPr>
        <w:ind w:left="1440" w:hanging="360"/>
      </w:pPr>
    </w:lvl>
    <w:lvl w:ilvl="1" w:tplc="FBEADE1C">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204C3C8A"/>
    <w:multiLevelType w:val="multilevel"/>
    <w:tmpl w:val="7C7A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A1E91"/>
    <w:multiLevelType w:val="multilevel"/>
    <w:tmpl w:val="B3844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43B35"/>
    <w:multiLevelType w:val="hybridMultilevel"/>
    <w:tmpl w:val="246A58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5B1F7D"/>
    <w:multiLevelType w:val="hybridMultilevel"/>
    <w:tmpl w:val="500AF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456122"/>
    <w:multiLevelType w:val="hybridMultilevel"/>
    <w:tmpl w:val="54629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1511AA1"/>
    <w:multiLevelType w:val="multilevel"/>
    <w:tmpl w:val="875A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736A2"/>
    <w:multiLevelType w:val="multilevel"/>
    <w:tmpl w:val="2570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C48B8"/>
    <w:multiLevelType w:val="hybridMultilevel"/>
    <w:tmpl w:val="50C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83610"/>
    <w:multiLevelType w:val="hybridMultilevel"/>
    <w:tmpl w:val="92DEF280"/>
    <w:lvl w:ilvl="0" w:tplc="FBEADE1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1A2268"/>
    <w:multiLevelType w:val="multilevel"/>
    <w:tmpl w:val="46E6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D2825"/>
    <w:multiLevelType w:val="multilevel"/>
    <w:tmpl w:val="A5B6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B30D5"/>
    <w:multiLevelType w:val="multilevel"/>
    <w:tmpl w:val="50E6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53E3C"/>
    <w:multiLevelType w:val="multilevel"/>
    <w:tmpl w:val="9E7C9EFA"/>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1368"/>
        </w:tabs>
        <w:ind w:left="1368" w:hanging="360"/>
      </w:pPr>
      <w:rPr>
        <w:rFonts w:ascii="Courier New" w:hAnsi="Courier New" w:cs="Times New Roman" w:hint="default"/>
        <w:sz w:val="20"/>
      </w:rPr>
    </w:lvl>
    <w:lvl w:ilvl="2">
      <w:start w:val="1"/>
      <w:numFmt w:val="bullet"/>
      <w:lvlText w:val=""/>
      <w:lvlJc w:val="left"/>
      <w:pPr>
        <w:tabs>
          <w:tab w:val="num" w:pos="2088"/>
        </w:tabs>
        <w:ind w:left="2088" w:hanging="360"/>
      </w:pPr>
      <w:rPr>
        <w:rFonts w:ascii="Wingdings" w:hAnsi="Wingdings" w:hint="default"/>
        <w:sz w:val="20"/>
      </w:rPr>
    </w:lvl>
    <w:lvl w:ilvl="3">
      <w:start w:val="1"/>
      <w:numFmt w:val="bullet"/>
      <w:lvlText w:val=""/>
      <w:lvlJc w:val="left"/>
      <w:pPr>
        <w:tabs>
          <w:tab w:val="num" w:pos="2808"/>
        </w:tabs>
        <w:ind w:left="2808" w:hanging="360"/>
      </w:pPr>
      <w:rPr>
        <w:rFonts w:ascii="Wingdings" w:hAnsi="Wingdings" w:hint="default"/>
        <w:sz w:val="20"/>
      </w:rPr>
    </w:lvl>
    <w:lvl w:ilvl="4">
      <w:start w:val="1"/>
      <w:numFmt w:val="bullet"/>
      <w:lvlText w:val=""/>
      <w:lvlJc w:val="left"/>
      <w:pPr>
        <w:tabs>
          <w:tab w:val="num" w:pos="3528"/>
        </w:tabs>
        <w:ind w:left="3528" w:hanging="360"/>
      </w:pPr>
      <w:rPr>
        <w:rFonts w:ascii="Wingdings" w:hAnsi="Wingdings" w:hint="default"/>
        <w:sz w:val="20"/>
      </w:rPr>
    </w:lvl>
    <w:lvl w:ilvl="5">
      <w:start w:val="1"/>
      <w:numFmt w:val="bullet"/>
      <w:lvlText w:val=""/>
      <w:lvlJc w:val="left"/>
      <w:pPr>
        <w:tabs>
          <w:tab w:val="num" w:pos="4248"/>
        </w:tabs>
        <w:ind w:left="4248" w:hanging="360"/>
      </w:pPr>
      <w:rPr>
        <w:rFonts w:ascii="Wingdings" w:hAnsi="Wingdings" w:hint="default"/>
        <w:sz w:val="20"/>
      </w:rPr>
    </w:lvl>
    <w:lvl w:ilvl="6">
      <w:start w:val="1"/>
      <w:numFmt w:val="bullet"/>
      <w:lvlText w:val=""/>
      <w:lvlJc w:val="left"/>
      <w:pPr>
        <w:tabs>
          <w:tab w:val="num" w:pos="4968"/>
        </w:tabs>
        <w:ind w:left="4968" w:hanging="360"/>
      </w:pPr>
      <w:rPr>
        <w:rFonts w:ascii="Wingdings" w:hAnsi="Wingdings" w:hint="default"/>
        <w:sz w:val="20"/>
      </w:rPr>
    </w:lvl>
    <w:lvl w:ilvl="7">
      <w:start w:val="1"/>
      <w:numFmt w:val="bullet"/>
      <w:lvlText w:val=""/>
      <w:lvlJc w:val="left"/>
      <w:pPr>
        <w:tabs>
          <w:tab w:val="num" w:pos="5688"/>
        </w:tabs>
        <w:ind w:left="5688" w:hanging="360"/>
      </w:pPr>
      <w:rPr>
        <w:rFonts w:ascii="Wingdings" w:hAnsi="Wingdings" w:hint="default"/>
        <w:sz w:val="20"/>
      </w:rPr>
    </w:lvl>
    <w:lvl w:ilvl="8">
      <w:start w:val="1"/>
      <w:numFmt w:val="bullet"/>
      <w:lvlText w:val=""/>
      <w:lvlJc w:val="left"/>
      <w:pPr>
        <w:tabs>
          <w:tab w:val="num" w:pos="6408"/>
        </w:tabs>
        <w:ind w:left="6408" w:hanging="360"/>
      </w:pPr>
      <w:rPr>
        <w:rFonts w:ascii="Wingdings" w:hAnsi="Wingdings" w:hint="default"/>
        <w:sz w:val="20"/>
      </w:rPr>
    </w:lvl>
  </w:abstractNum>
  <w:abstractNum w:abstractNumId="2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F6C0157"/>
    <w:multiLevelType w:val="hybridMultilevel"/>
    <w:tmpl w:val="0A6AE7D4"/>
    <w:lvl w:ilvl="0" w:tplc="0409000F">
      <w:start w:val="1"/>
      <w:numFmt w:val="decimal"/>
      <w:lvlText w:val="%1."/>
      <w:lvlJc w:val="left"/>
      <w:pPr>
        <w:ind w:left="1440" w:hanging="360"/>
      </w:pPr>
    </w:lvl>
    <w:lvl w:ilvl="1" w:tplc="FBEADE1C">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DD7B9E"/>
    <w:multiLevelType w:val="hybridMultilevel"/>
    <w:tmpl w:val="61FA1DEA"/>
    <w:lvl w:ilvl="0" w:tplc="0409000F">
      <w:start w:val="1"/>
      <w:numFmt w:val="decimal"/>
      <w:lvlText w:val="%1."/>
      <w:lvlJc w:val="left"/>
      <w:pPr>
        <w:ind w:left="1440" w:hanging="360"/>
      </w:pPr>
    </w:lvl>
    <w:lvl w:ilvl="1" w:tplc="FBEADE1C">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D85C2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AAF7A7A"/>
    <w:multiLevelType w:val="multilevel"/>
    <w:tmpl w:val="B04E2B4E"/>
    <w:lvl w:ilvl="0">
      <w:start w:val="1"/>
      <w:numFmt w:val="bullet"/>
      <w:pStyle w:val="BodyBullets"/>
      <w:lvlText w:val=""/>
      <w:lvlJc w:val="left"/>
      <w:pPr>
        <w:tabs>
          <w:tab w:val="num" w:pos="648"/>
        </w:tabs>
        <w:ind w:left="648" w:hanging="360"/>
      </w:pPr>
      <w:rPr>
        <w:rFonts w:ascii="Wingdings" w:hAnsi="Wingdings" w:hint="default"/>
        <w:sz w:val="20"/>
      </w:rPr>
    </w:lvl>
    <w:lvl w:ilvl="1">
      <w:start w:val="1"/>
      <w:numFmt w:val="bullet"/>
      <w:lvlText w:val="o"/>
      <w:lvlJc w:val="left"/>
      <w:pPr>
        <w:tabs>
          <w:tab w:val="num" w:pos="1368"/>
        </w:tabs>
        <w:ind w:left="1368" w:hanging="360"/>
      </w:pPr>
      <w:rPr>
        <w:rFonts w:ascii="Courier New" w:hAnsi="Courier New" w:cs="Times New Roman" w:hint="default"/>
        <w:sz w:val="20"/>
      </w:rPr>
    </w:lvl>
    <w:lvl w:ilvl="2">
      <w:start w:val="1"/>
      <w:numFmt w:val="bullet"/>
      <w:lvlText w:val=""/>
      <w:lvlJc w:val="left"/>
      <w:pPr>
        <w:tabs>
          <w:tab w:val="num" w:pos="2088"/>
        </w:tabs>
        <w:ind w:left="2088" w:hanging="360"/>
      </w:pPr>
      <w:rPr>
        <w:rFonts w:ascii="Wingdings" w:hAnsi="Wingdings" w:hint="default"/>
        <w:sz w:val="20"/>
      </w:rPr>
    </w:lvl>
    <w:lvl w:ilvl="3">
      <w:start w:val="1"/>
      <w:numFmt w:val="bullet"/>
      <w:lvlText w:val=""/>
      <w:lvlJc w:val="left"/>
      <w:pPr>
        <w:tabs>
          <w:tab w:val="num" w:pos="2808"/>
        </w:tabs>
        <w:ind w:left="2808" w:hanging="360"/>
      </w:pPr>
      <w:rPr>
        <w:rFonts w:ascii="Wingdings" w:hAnsi="Wingdings" w:hint="default"/>
        <w:sz w:val="20"/>
      </w:rPr>
    </w:lvl>
    <w:lvl w:ilvl="4">
      <w:start w:val="1"/>
      <w:numFmt w:val="bullet"/>
      <w:lvlText w:val=""/>
      <w:lvlJc w:val="left"/>
      <w:pPr>
        <w:tabs>
          <w:tab w:val="num" w:pos="3528"/>
        </w:tabs>
        <w:ind w:left="3528" w:hanging="360"/>
      </w:pPr>
      <w:rPr>
        <w:rFonts w:ascii="Wingdings" w:hAnsi="Wingdings" w:hint="default"/>
        <w:sz w:val="20"/>
      </w:rPr>
    </w:lvl>
    <w:lvl w:ilvl="5">
      <w:start w:val="1"/>
      <w:numFmt w:val="bullet"/>
      <w:lvlText w:val=""/>
      <w:lvlJc w:val="left"/>
      <w:pPr>
        <w:tabs>
          <w:tab w:val="num" w:pos="4248"/>
        </w:tabs>
        <w:ind w:left="4248" w:hanging="360"/>
      </w:pPr>
      <w:rPr>
        <w:rFonts w:ascii="Wingdings" w:hAnsi="Wingdings" w:hint="default"/>
        <w:sz w:val="20"/>
      </w:rPr>
    </w:lvl>
    <w:lvl w:ilvl="6">
      <w:start w:val="1"/>
      <w:numFmt w:val="bullet"/>
      <w:lvlText w:val=""/>
      <w:lvlJc w:val="left"/>
      <w:pPr>
        <w:tabs>
          <w:tab w:val="num" w:pos="4968"/>
        </w:tabs>
        <w:ind w:left="4968" w:hanging="360"/>
      </w:pPr>
      <w:rPr>
        <w:rFonts w:ascii="Wingdings" w:hAnsi="Wingdings" w:hint="default"/>
        <w:sz w:val="20"/>
      </w:rPr>
    </w:lvl>
    <w:lvl w:ilvl="7">
      <w:start w:val="1"/>
      <w:numFmt w:val="bullet"/>
      <w:lvlText w:val=""/>
      <w:lvlJc w:val="left"/>
      <w:pPr>
        <w:tabs>
          <w:tab w:val="num" w:pos="5688"/>
        </w:tabs>
        <w:ind w:left="5688" w:hanging="360"/>
      </w:pPr>
      <w:rPr>
        <w:rFonts w:ascii="Wingdings" w:hAnsi="Wingdings" w:hint="default"/>
        <w:sz w:val="20"/>
      </w:rPr>
    </w:lvl>
    <w:lvl w:ilvl="8">
      <w:start w:val="1"/>
      <w:numFmt w:val="bullet"/>
      <w:lvlText w:val=""/>
      <w:lvlJc w:val="left"/>
      <w:pPr>
        <w:tabs>
          <w:tab w:val="num" w:pos="6408"/>
        </w:tabs>
        <w:ind w:left="6408" w:hanging="360"/>
      </w:pPr>
      <w:rPr>
        <w:rFonts w:ascii="Wingdings" w:hAnsi="Wingdings" w:hint="default"/>
        <w:sz w:val="20"/>
      </w:rPr>
    </w:lvl>
  </w:abstractNum>
  <w:abstractNum w:abstractNumId="25" w15:restartNumberingAfterBreak="0">
    <w:nsid w:val="6F961CD9"/>
    <w:multiLevelType w:val="multilevel"/>
    <w:tmpl w:val="CEFA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01DEE"/>
    <w:multiLevelType w:val="multilevel"/>
    <w:tmpl w:val="DD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909EB"/>
    <w:multiLevelType w:val="hybridMultilevel"/>
    <w:tmpl w:val="4C68A5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75701FAB"/>
    <w:multiLevelType w:val="multilevel"/>
    <w:tmpl w:val="3BD8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0"/>
  </w:num>
  <w:num w:numId="4">
    <w:abstractNumId w:val="0"/>
  </w:num>
  <w:num w:numId="5">
    <w:abstractNumId w:val="11"/>
  </w:num>
  <w:num w:numId="6">
    <w:abstractNumId w:val="27"/>
  </w:num>
  <w:num w:numId="7">
    <w:abstractNumId w:val="14"/>
  </w:num>
  <w:num w:numId="8">
    <w:abstractNumId w:val="7"/>
  </w:num>
  <w:num w:numId="9">
    <w:abstractNumId w:val="12"/>
  </w:num>
  <w:num w:numId="10">
    <w:abstractNumId w:val="17"/>
  </w:num>
  <w:num w:numId="11">
    <w:abstractNumId w:val="28"/>
  </w:num>
  <w:num w:numId="12">
    <w:abstractNumId w:val="8"/>
  </w:num>
  <w:num w:numId="13">
    <w:abstractNumId w:val="26"/>
  </w:num>
  <w:num w:numId="14">
    <w:abstractNumId w:val="1"/>
  </w:num>
  <w:num w:numId="15">
    <w:abstractNumId w:val="25"/>
  </w:num>
  <w:num w:numId="16">
    <w:abstractNumId w:val="13"/>
  </w:num>
  <w:num w:numId="17">
    <w:abstractNumId w:val="18"/>
  </w:num>
  <w:num w:numId="18">
    <w:abstractNumId w:val="16"/>
  </w:num>
  <w:num w:numId="19">
    <w:abstractNumId w:val="15"/>
  </w:num>
  <w:num w:numId="20">
    <w:abstractNumId w:val="9"/>
  </w:num>
  <w:num w:numId="21">
    <w:abstractNumId w:val="22"/>
  </w:num>
  <w:num w:numId="22">
    <w:abstractNumId w:val="2"/>
  </w:num>
  <w:num w:numId="23">
    <w:abstractNumId w:val="4"/>
  </w:num>
  <w:num w:numId="24">
    <w:abstractNumId w:val="21"/>
  </w:num>
  <w:num w:numId="25">
    <w:abstractNumId w:val="5"/>
  </w:num>
  <w:num w:numId="26">
    <w:abstractNumId w:val="24"/>
  </w:num>
  <w:num w:numId="27">
    <w:abstractNumId w:val="23"/>
  </w:num>
  <w:num w:numId="28">
    <w:abstractNumId w:val="19"/>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563"/>
    <w:rsid w:val="000007F5"/>
    <w:rsid w:val="00000B28"/>
    <w:rsid w:val="000012B3"/>
    <w:rsid w:val="000023B3"/>
    <w:rsid w:val="00002480"/>
    <w:rsid w:val="00004882"/>
    <w:rsid w:val="000129D4"/>
    <w:rsid w:val="0001568F"/>
    <w:rsid w:val="0002372C"/>
    <w:rsid w:val="00024189"/>
    <w:rsid w:val="00024DEC"/>
    <w:rsid w:val="00026E65"/>
    <w:rsid w:val="0003402C"/>
    <w:rsid w:val="000365FD"/>
    <w:rsid w:val="000428EC"/>
    <w:rsid w:val="00046585"/>
    <w:rsid w:val="00047147"/>
    <w:rsid w:val="00054B4D"/>
    <w:rsid w:val="000550A8"/>
    <w:rsid w:val="00056BEF"/>
    <w:rsid w:val="00066146"/>
    <w:rsid w:val="00067E9C"/>
    <w:rsid w:val="00071C90"/>
    <w:rsid w:val="00072B5C"/>
    <w:rsid w:val="000742B4"/>
    <w:rsid w:val="0008338B"/>
    <w:rsid w:val="000868D2"/>
    <w:rsid w:val="00091AD0"/>
    <w:rsid w:val="00092AB5"/>
    <w:rsid w:val="00095BEC"/>
    <w:rsid w:val="00095ED6"/>
    <w:rsid w:val="00097EDD"/>
    <w:rsid w:val="000A0A85"/>
    <w:rsid w:val="000A3DAA"/>
    <w:rsid w:val="000A5063"/>
    <w:rsid w:val="000A7C54"/>
    <w:rsid w:val="000B24AC"/>
    <w:rsid w:val="000B3018"/>
    <w:rsid w:val="000C2467"/>
    <w:rsid w:val="000C2919"/>
    <w:rsid w:val="000D29A2"/>
    <w:rsid w:val="000D3B2C"/>
    <w:rsid w:val="000E22EC"/>
    <w:rsid w:val="000E2855"/>
    <w:rsid w:val="000E4F0A"/>
    <w:rsid w:val="000E5841"/>
    <w:rsid w:val="000E75B0"/>
    <w:rsid w:val="000F069B"/>
    <w:rsid w:val="000F0BE4"/>
    <w:rsid w:val="000F2446"/>
    <w:rsid w:val="000F373C"/>
    <w:rsid w:val="000F7B34"/>
    <w:rsid w:val="0010003D"/>
    <w:rsid w:val="00102937"/>
    <w:rsid w:val="00104404"/>
    <w:rsid w:val="001112F0"/>
    <w:rsid w:val="001145D5"/>
    <w:rsid w:val="00116162"/>
    <w:rsid w:val="00117C38"/>
    <w:rsid w:val="00123C0F"/>
    <w:rsid w:val="0012513D"/>
    <w:rsid w:val="00126312"/>
    <w:rsid w:val="00131468"/>
    <w:rsid w:val="00132D6F"/>
    <w:rsid w:val="00135B6E"/>
    <w:rsid w:val="00137E9C"/>
    <w:rsid w:val="0014281C"/>
    <w:rsid w:val="00143911"/>
    <w:rsid w:val="00150418"/>
    <w:rsid w:val="00152DFA"/>
    <w:rsid w:val="0015381D"/>
    <w:rsid w:val="00154D70"/>
    <w:rsid w:val="00160003"/>
    <w:rsid w:val="001604D1"/>
    <w:rsid w:val="001643AF"/>
    <w:rsid w:val="00164A7B"/>
    <w:rsid w:val="001653E8"/>
    <w:rsid w:val="001669F9"/>
    <w:rsid w:val="0016708F"/>
    <w:rsid w:val="00171FE6"/>
    <w:rsid w:val="00172D96"/>
    <w:rsid w:val="0017387D"/>
    <w:rsid w:val="001748F8"/>
    <w:rsid w:val="00174972"/>
    <w:rsid w:val="001813DA"/>
    <w:rsid w:val="00182634"/>
    <w:rsid w:val="0018286B"/>
    <w:rsid w:val="00185732"/>
    <w:rsid w:val="001910DC"/>
    <w:rsid w:val="0019143F"/>
    <w:rsid w:val="00191731"/>
    <w:rsid w:val="00193C6D"/>
    <w:rsid w:val="0019415E"/>
    <w:rsid w:val="00195653"/>
    <w:rsid w:val="00195C4D"/>
    <w:rsid w:val="00196D51"/>
    <w:rsid w:val="001A0527"/>
    <w:rsid w:val="001A4AA9"/>
    <w:rsid w:val="001A5450"/>
    <w:rsid w:val="001B63C1"/>
    <w:rsid w:val="001C03A8"/>
    <w:rsid w:val="001C21BF"/>
    <w:rsid w:val="001C4AEC"/>
    <w:rsid w:val="001C501C"/>
    <w:rsid w:val="001C5320"/>
    <w:rsid w:val="001C6AF8"/>
    <w:rsid w:val="001D33B9"/>
    <w:rsid w:val="001D4318"/>
    <w:rsid w:val="001D4850"/>
    <w:rsid w:val="001E145A"/>
    <w:rsid w:val="001E1CC9"/>
    <w:rsid w:val="001E249E"/>
    <w:rsid w:val="001F1FD4"/>
    <w:rsid w:val="001F552E"/>
    <w:rsid w:val="001F5C5B"/>
    <w:rsid w:val="001F62FF"/>
    <w:rsid w:val="001F67D0"/>
    <w:rsid w:val="001F72DC"/>
    <w:rsid w:val="002012DC"/>
    <w:rsid w:val="00203A14"/>
    <w:rsid w:val="00205CCC"/>
    <w:rsid w:val="0021055A"/>
    <w:rsid w:val="002205C4"/>
    <w:rsid w:val="002268FE"/>
    <w:rsid w:val="002312D5"/>
    <w:rsid w:val="00232720"/>
    <w:rsid w:val="00232C5C"/>
    <w:rsid w:val="0023388A"/>
    <w:rsid w:val="00234249"/>
    <w:rsid w:val="00234955"/>
    <w:rsid w:val="0024421B"/>
    <w:rsid w:val="0024745C"/>
    <w:rsid w:val="002475C0"/>
    <w:rsid w:val="0025436D"/>
    <w:rsid w:val="002546A4"/>
    <w:rsid w:val="00254A2F"/>
    <w:rsid w:val="00255EAA"/>
    <w:rsid w:val="002561BC"/>
    <w:rsid w:val="00261DA8"/>
    <w:rsid w:val="00266073"/>
    <w:rsid w:val="00273BB7"/>
    <w:rsid w:val="002847B1"/>
    <w:rsid w:val="002867A7"/>
    <w:rsid w:val="00292E07"/>
    <w:rsid w:val="002939CA"/>
    <w:rsid w:val="002950C8"/>
    <w:rsid w:val="002974C2"/>
    <w:rsid w:val="002A4320"/>
    <w:rsid w:val="002A44C1"/>
    <w:rsid w:val="002A5177"/>
    <w:rsid w:val="002A76D2"/>
    <w:rsid w:val="002A7E59"/>
    <w:rsid w:val="002B22A9"/>
    <w:rsid w:val="002B362B"/>
    <w:rsid w:val="002B6034"/>
    <w:rsid w:val="002B7310"/>
    <w:rsid w:val="002C4514"/>
    <w:rsid w:val="002C5F9E"/>
    <w:rsid w:val="002C7324"/>
    <w:rsid w:val="002C7DE6"/>
    <w:rsid w:val="002E0B6B"/>
    <w:rsid w:val="002E1BCC"/>
    <w:rsid w:val="002E21FC"/>
    <w:rsid w:val="002E267A"/>
    <w:rsid w:val="002E2FE8"/>
    <w:rsid w:val="002F04E5"/>
    <w:rsid w:val="002F2322"/>
    <w:rsid w:val="002F384B"/>
    <w:rsid w:val="002F3D1D"/>
    <w:rsid w:val="002F4FCE"/>
    <w:rsid w:val="002F7B5D"/>
    <w:rsid w:val="003108FC"/>
    <w:rsid w:val="00315487"/>
    <w:rsid w:val="00315D85"/>
    <w:rsid w:val="00317A2C"/>
    <w:rsid w:val="00332F3C"/>
    <w:rsid w:val="00335236"/>
    <w:rsid w:val="00335D27"/>
    <w:rsid w:val="00346DAA"/>
    <w:rsid w:val="00360234"/>
    <w:rsid w:val="00363555"/>
    <w:rsid w:val="003663D5"/>
    <w:rsid w:val="00371470"/>
    <w:rsid w:val="00374F0C"/>
    <w:rsid w:val="00377A5D"/>
    <w:rsid w:val="003809C9"/>
    <w:rsid w:val="00380E91"/>
    <w:rsid w:val="003879F7"/>
    <w:rsid w:val="00390A25"/>
    <w:rsid w:val="00391F6A"/>
    <w:rsid w:val="0039349E"/>
    <w:rsid w:val="003937A6"/>
    <w:rsid w:val="00394576"/>
    <w:rsid w:val="00394714"/>
    <w:rsid w:val="00397445"/>
    <w:rsid w:val="003A35BD"/>
    <w:rsid w:val="003A434B"/>
    <w:rsid w:val="003B2A1B"/>
    <w:rsid w:val="003B2A5E"/>
    <w:rsid w:val="003B6AFA"/>
    <w:rsid w:val="003D3544"/>
    <w:rsid w:val="003D6EC5"/>
    <w:rsid w:val="003E0045"/>
    <w:rsid w:val="003E01CA"/>
    <w:rsid w:val="003E66C6"/>
    <w:rsid w:val="003E7655"/>
    <w:rsid w:val="003F04A8"/>
    <w:rsid w:val="003F11DC"/>
    <w:rsid w:val="003F2459"/>
    <w:rsid w:val="003F25E6"/>
    <w:rsid w:val="003F3A4D"/>
    <w:rsid w:val="003F4701"/>
    <w:rsid w:val="004030AC"/>
    <w:rsid w:val="0041270A"/>
    <w:rsid w:val="00414525"/>
    <w:rsid w:val="00414ADB"/>
    <w:rsid w:val="00417BC4"/>
    <w:rsid w:val="00420A62"/>
    <w:rsid w:val="00421BB9"/>
    <w:rsid w:val="00421C40"/>
    <w:rsid w:val="00423B4D"/>
    <w:rsid w:val="00425922"/>
    <w:rsid w:val="00426856"/>
    <w:rsid w:val="0043215E"/>
    <w:rsid w:val="00432433"/>
    <w:rsid w:val="004536A2"/>
    <w:rsid w:val="00460749"/>
    <w:rsid w:val="00464EEC"/>
    <w:rsid w:val="00467604"/>
    <w:rsid w:val="00467DF7"/>
    <w:rsid w:val="0047085F"/>
    <w:rsid w:val="0047240C"/>
    <w:rsid w:val="004769B5"/>
    <w:rsid w:val="0047756C"/>
    <w:rsid w:val="00477DF5"/>
    <w:rsid w:val="00485ECF"/>
    <w:rsid w:val="004909CA"/>
    <w:rsid w:val="00493614"/>
    <w:rsid w:val="004A16AE"/>
    <w:rsid w:val="004A5B91"/>
    <w:rsid w:val="004A7975"/>
    <w:rsid w:val="004B30C6"/>
    <w:rsid w:val="004B396A"/>
    <w:rsid w:val="004B4130"/>
    <w:rsid w:val="004B60A8"/>
    <w:rsid w:val="004C036B"/>
    <w:rsid w:val="004C0BE9"/>
    <w:rsid w:val="004C410F"/>
    <w:rsid w:val="004C44AA"/>
    <w:rsid w:val="004C6B84"/>
    <w:rsid w:val="004D344B"/>
    <w:rsid w:val="004D38DD"/>
    <w:rsid w:val="004D483B"/>
    <w:rsid w:val="004E058C"/>
    <w:rsid w:val="004E3BB3"/>
    <w:rsid w:val="004E483F"/>
    <w:rsid w:val="004E6169"/>
    <w:rsid w:val="004E7698"/>
    <w:rsid w:val="004F1C8C"/>
    <w:rsid w:val="004F5009"/>
    <w:rsid w:val="00507825"/>
    <w:rsid w:val="00507B83"/>
    <w:rsid w:val="005107A0"/>
    <w:rsid w:val="00515B67"/>
    <w:rsid w:val="005251A8"/>
    <w:rsid w:val="005317E0"/>
    <w:rsid w:val="0053240A"/>
    <w:rsid w:val="005336E8"/>
    <w:rsid w:val="0053603E"/>
    <w:rsid w:val="00541806"/>
    <w:rsid w:val="00545574"/>
    <w:rsid w:val="005577CA"/>
    <w:rsid w:val="00564245"/>
    <w:rsid w:val="0056428E"/>
    <w:rsid w:val="0056529E"/>
    <w:rsid w:val="00565621"/>
    <w:rsid w:val="005657F4"/>
    <w:rsid w:val="00565857"/>
    <w:rsid w:val="005671F0"/>
    <w:rsid w:val="00577E73"/>
    <w:rsid w:val="00583023"/>
    <w:rsid w:val="00583D33"/>
    <w:rsid w:val="0058407D"/>
    <w:rsid w:val="0059198E"/>
    <w:rsid w:val="00592310"/>
    <w:rsid w:val="00596C35"/>
    <w:rsid w:val="0059797A"/>
    <w:rsid w:val="005A47D8"/>
    <w:rsid w:val="005C735A"/>
    <w:rsid w:val="005D19F2"/>
    <w:rsid w:val="005D7DE1"/>
    <w:rsid w:val="005F1704"/>
    <w:rsid w:val="005F216B"/>
    <w:rsid w:val="005F21CB"/>
    <w:rsid w:val="005F2336"/>
    <w:rsid w:val="005F38B1"/>
    <w:rsid w:val="005F5F79"/>
    <w:rsid w:val="00600BEC"/>
    <w:rsid w:val="00605FE4"/>
    <w:rsid w:val="00617406"/>
    <w:rsid w:val="006224E6"/>
    <w:rsid w:val="00647D7B"/>
    <w:rsid w:val="00653A25"/>
    <w:rsid w:val="00667C8A"/>
    <w:rsid w:val="00670869"/>
    <w:rsid w:val="00671834"/>
    <w:rsid w:val="0067661D"/>
    <w:rsid w:val="006771E6"/>
    <w:rsid w:val="00687DC4"/>
    <w:rsid w:val="00691B74"/>
    <w:rsid w:val="006B2BDF"/>
    <w:rsid w:val="006B3BF9"/>
    <w:rsid w:val="006B40BF"/>
    <w:rsid w:val="006C5E0A"/>
    <w:rsid w:val="006D3169"/>
    <w:rsid w:val="006D3891"/>
    <w:rsid w:val="006D3C47"/>
    <w:rsid w:val="006D4AA4"/>
    <w:rsid w:val="006E43C6"/>
    <w:rsid w:val="006E5520"/>
    <w:rsid w:val="006F0B3F"/>
    <w:rsid w:val="006F5607"/>
    <w:rsid w:val="006F7766"/>
    <w:rsid w:val="00700279"/>
    <w:rsid w:val="00700562"/>
    <w:rsid w:val="00701475"/>
    <w:rsid w:val="00704765"/>
    <w:rsid w:val="00705C17"/>
    <w:rsid w:val="00711E4B"/>
    <w:rsid w:val="007134AB"/>
    <w:rsid w:val="007147C3"/>
    <w:rsid w:val="00714CFE"/>
    <w:rsid w:val="007200BE"/>
    <w:rsid w:val="007272E1"/>
    <w:rsid w:val="00727309"/>
    <w:rsid w:val="007302DF"/>
    <w:rsid w:val="00731BF6"/>
    <w:rsid w:val="00731E2D"/>
    <w:rsid w:val="007374F5"/>
    <w:rsid w:val="00741CC0"/>
    <w:rsid w:val="007513A4"/>
    <w:rsid w:val="00762442"/>
    <w:rsid w:val="00767B68"/>
    <w:rsid w:val="00770EDD"/>
    <w:rsid w:val="00771FDA"/>
    <w:rsid w:val="00776897"/>
    <w:rsid w:val="00782053"/>
    <w:rsid w:val="00783AB2"/>
    <w:rsid w:val="007856BA"/>
    <w:rsid w:val="00785A4A"/>
    <w:rsid w:val="007867B2"/>
    <w:rsid w:val="007934F0"/>
    <w:rsid w:val="00794214"/>
    <w:rsid w:val="007979E4"/>
    <w:rsid w:val="007A7E7B"/>
    <w:rsid w:val="007B2669"/>
    <w:rsid w:val="007B49A8"/>
    <w:rsid w:val="007B7A15"/>
    <w:rsid w:val="007C21CD"/>
    <w:rsid w:val="007C3114"/>
    <w:rsid w:val="007C4406"/>
    <w:rsid w:val="007D0C1E"/>
    <w:rsid w:val="007D50AF"/>
    <w:rsid w:val="007D73BC"/>
    <w:rsid w:val="007F0045"/>
    <w:rsid w:val="007F6E6B"/>
    <w:rsid w:val="007F70F3"/>
    <w:rsid w:val="0080103D"/>
    <w:rsid w:val="008043AA"/>
    <w:rsid w:val="00807C77"/>
    <w:rsid w:val="008108FD"/>
    <w:rsid w:val="00810F93"/>
    <w:rsid w:val="00811104"/>
    <w:rsid w:val="008124B4"/>
    <w:rsid w:val="00815519"/>
    <w:rsid w:val="00820C31"/>
    <w:rsid w:val="008255FD"/>
    <w:rsid w:val="00827B5B"/>
    <w:rsid w:val="008350B9"/>
    <w:rsid w:val="008421CE"/>
    <w:rsid w:val="00844354"/>
    <w:rsid w:val="00844A67"/>
    <w:rsid w:val="00846AFA"/>
    <w:rsid w:val="00846DB8"/>
    <w:rsid w:val="008505C7"/>
    <w:rsid w:val="00852FBB"/>
    <w:rsid w:val="00853BDB"/>
    <w:rsid w:val="00855BDE"/>
    <w:rsid w:val="00856B33"/>
    <w:rsid w:val="0086029C"/>
    <w:rsid w:val="0086211C"/>
    <w:rsid w:val="0086212A"/>
    <w:rsid w:val="00862FB6"/>
    <w:rsid w:val="00865F84"/>
    <w:rsid w:val="00871CF9"/>
    <w:rsid w:val="0087240C"/>
    <w:rsid w:val="008762D5"/>
    <w:rsid w:val="00876C34"/>
    <w:rsid w:val="008870D1"/>
    <w:rsid w:val="00887BFB"/>
    <w:rsid w:val="008914A3"/>
    <w:rsid w:val="00895C85"/>
    <w:rsid w:val="00897FD3"/>
    <w:rsid w:val="008A4FAD"/>
    <w:rsid w:val="008A610C"/>
    <w:rsid w:val="008B0A0F"/>
    <w:rsid w:val="008B2B72"/>
    <w:rsid w:val="008B43E1"/>
    <w:rsid w:val="008C1E73"/>
    <w:rsid w:val="008C22B5"/>
    <w:rsid w:val="008D08C1"/>
    <w:rsid w:val="008D20E3"/>
    <w:rsid w:val="008D338B"/>
    <w:rsid w:val="008D390C"/>
    <w:rsid w:val="008D6873"/>
    <w:rsid w:val="008E0C67"/>
    <w:rsid w:val="008E3C58"/>
    <w:rsid w:val="008E5CED"/>
    <w:rsid w:val="008E5EA5"/>
    <w:rsid w:val="008F0875"/>
    <w:rsid w:val="008F1B3D"/>
    <w:rsid w:val="008F3648"/>
    <w:rsid w:val="008F546E"/>
    <w:rsid w:val="008F6431"/>
    <w:rsid w:val="008F6893"/>
    <w:rsid w:val="00900EC7"/>
    <w:rsid w:val="00902695"/>
    <w:rsid w:val="009070E8"/>
    <w:rsid w:val="00907508"/>
    <w:rsid w:val="00907952"/>
    <w:rsid w:val="009122A1"/>
    <w:rsid w:val="00912875"/>
    <w:rsid w:val="00914803"/>
    <w:rsid w:val="0091485B"/>
    <w:rsid w:val="00915D7E"/>
    <w:rsid w:val="00917DF9"/>
    <w:rsid w:val="00921CBD"/>
    <w:rsid w:val="009271FF"/>
    <w:rsid w:val="009312F5"/>
    <w:rsid w:val="009332FC"/>
    <w:rsid w:val="0093567F"/>
    <w:rsid w:val="009366DF"/>
    <w:rsid w:val="00940D55"/>
    <w:rsid w:val="00941C49"/>
    <w:rsid w:val="00943632"/>
    <w:rsid w:val="00954340"/>
    <w:rsid w:val="00954E25"/>
    <w:rsid w:val="00960F8F"/>
    <w:rsid w:val="009668A8"/>
    <w:rsid w:val="0097443E"/>
    <w:rsid w:val="009749A4"/>
    <w:rsid w:val="00974AD1"/>
    <w:rsid w:val="00977B46"/>
    <w:rsid w:val="00980356"/>
    <w:rsid w:val="009828A1"/>
    <w:rsid w:val="00991506"/>
    <w:rsid w:val="00993CA9"/>
    <w:rsid w:val="0099687B"/>
    <w:rsid w:val="009974BA"/>
    <w:rsid w:val="009978D9"/>
    <w:rsid w:val="009A08C4"/>
    <w:rsid w:val="009A4E19"/>
    <w:rsid w:val="009B0174"/>
    <w:rsid w:val="009B1B2D"/>
    <w:rsid w:val="009B50AD"/>
    <w:rsid w:val="009B6A30"/>
    <w:rsid w:val="009B754F"/>
    <w:rsid w:val="009C0E69"/>
    <w:rsid w:val="009C2CEE"/>
    <w:rsid w:val="009C2F58"/>
    <w:rsid w:val="009C49BF"/>
    <w:rsid w:val="009C70E5"/>
    <w:rsid w:val="009D093F"/>
    <w:rsid w:val="009D3FE0"/>
    <w:rsid w:val="009E0E3B"/>
    <w:rsid w:val="009E334B"/>
    <w:rsid w:val="009E48B6"/>
    <w:rsid w:val="009F2C4B"/>
    <w:rsid w:val="009F44B6"/>
    <w:rsid w:val="009F4A2A"/>
    <w:rsid w:val="009F77AC"/>
    <w:rsid w:val="00A0019E"/>
    <w:rsid w:val="00A0061C"/>
    <w:rsid w:val="00A02FCD"/>
    <w:rsid w:val="00A07444"/>
    <w:rsid w:val="00A10081"/>
    <w:rsid w:val="00A124BE"/>
    <w:rsid w:val="00A1516D"/>
    <w:rsid w:val="00A16CAE"/>
    <w:rsid w:val="00A216F6"/>
    <w:rsid w:val="00A30111"/>
    <w:rsid w:val="00A3297F"/>
    <w:rsid w:val="00A372F4"/>
    <w:rsid w:val="00A43D2F"/>
    <w:rsid w:val="00A44019"/>
    <w:rsid w:val="00A50AF8"/>
    <w:rsid w:val="00A55C72"/>
    <w:rsid w:val="00A566C3"/>
    <w:rsid w:val="00A6129B"/>
    <w:rsid w:val="00A62A76"/>
    <w:rsid w:val="00A6648A"/>
    <w:rsid w:val="00A67A34"/>
    <w:rsid w:val="00A70965"/>
    <w:rsid w:val="00A73AE4"/>
    <w:rsid w:val="00A76732"/>
    <w:rsid w:val="00A777BD"/>
    <w:rsid w:val="00A80E1D"/>
    <w:rsid w:val="00A811EF"/>
    <w:rsid w:val="00A81E98"/>
    <w:rsid w:val="00A86C61"/>
    <w:rsid w:val="00A921F6"/>
    <w:rsid w:val="00A9299C"/>
    <w:rsid w:val="00A951CB"/>
    <w:rsid w:val="00A96D79"/>
    <w:rsid w:val="00A97CB8"/>
    <w:rsid w:val="00AA2193"/>
    <w:rsid w:val="00AA28BD"/>
    <w:rsid w:val="00AA4837"/>
    <w:rsid w:val="00AB278E"/>
    <w:rsid w:val="00AB5733"/>
    <w:rsid w:val="00AC1A5B"/>
    <w:rsid w:val="00AC666C"/>
    <w:rsid w:val="00AD007E"/>
    <w:rsid w:val="00AD2D4F"/>
    <w:rsid w:val="00AD4FE0"/>
    <w:rsid w:val="00AD5846"/>
    <w:rsid w:val="00AE3732"/>
    <w:rsid w:val="00AE3A3C"/>
    <w:rsid w:val="00AE6064"/>
    <w:rsid w:val="00AE6E0C"/>
    <w:rsid w:val="00AF01A5"/>
    <w:rsid w:val="00AF120D"/>
    <w:rsid w:val="00AF76BF"/>
    <w:rsid w:val="00B02BDE"/>
    <w:rsid w:val="00B046E6"/>
    <w:rsid w:val="00B1090C"/>
    <w:rsid w:val="00B116C8"/>
    <w:rsid w:val="00B1572E"/>
    <w:rsid w:val="00B227A6"/>
    <w:rsid w:val="00B22942"/>
    <w:rsid w:val="00B270EC"/>
    <w:rsid w:val="00B30AD5"/>
    <w:rsid w:val="00B31937"/>
    <w:rsid w:val="00B32C51"/>
    <w:rsid w:val="00B34E1E"/>
    <w:rsid w:val="00B3691E"/>
    <w:rsid w:val="00B42540"/>
    <w:rsid w:val="00B44882"/>
    <w:rsid w:val="00B44E33"/>
    <w:rsid w:val="00B457D4"/>
    <w:rsid w:val="00B5104A"/>
    <w:rsid w:val="00B5489E"/>
    <w:rsid w:val="00B60B97"/>
    <w:rsid w:val="00B6504B"/>
    <w:rsid w:val="00B66697"/>
    <w:rsid w:val="00B67BCB"/>
    <w:rsid w:val="00B72A3F"/>
    <w:rsid w:val="00B7414C"/>
    <w:rsid w:val="00B81608"/>
    <w:rsid w:val="00B83702"/>
    <w:rsid w:val="00B87BB6"/>
    <w:rsid w:val="00B96709"/>
    <w:rsid w:val="00B97A73"/>
    <w:rsid w:val="00BA0BE6"/>
    <w:rsid w:val="00BA1B10"/>
    <w:rsid w:val="00BA3FC4"/>
    <w:rsid w:val="00BA5389"/>
    <w:rsid w:val="00BB3A0F"/>
    <w:rsid w:val="00BB75A2"/>
    <w:rsid w:val="00BC0CA3"/>
    <w:rsid w:val="00BC20C3"/>
    <w:rsid w:val="00BC3305"/>
    <w:rsid w:val="00BC6522"/>
    <w:rsid w:val="00BC694B"/>
    <w:rsid w:val="00BD1110"/>
    <w:rsid w:val="00BD1A22"/>
    <w:rsid w:val="00BD2305"/>
    <w:rsid w:val="00BD6734"/>
    <w:rsid w:val="00BD6FF8"/>
    <w:rsid w:val="00BE2FB0"/>
    <w:rsid w:val="00BE3A8F"/>
    <w:rsid w:val="00BE5137"/>
    <w:rsid w:val="00BE691E"/>
    <w:rsid w:val="00BF0761"/>
    <w:rsid w:val="00BF0D15"/>
    <w:rsid w:val="00BF10EF"/>
    <w:rsid w:val="00C0009A"/>
    <w:rsid w:val="00C01586"/>
    <w:rsid w:val="00C01718"/>
    <w:rsid w:val="00C01DF8"/>
    <w:rsid w:val="00C03B2E"/>
    <w:rsid w:val="00C03F3A"/>
    <w:rsid w:val="00C04409"/>
    <w:rsid w:val="00C13FCE"/>
    <w:rsid w:val="00C155D6"/>
    <w:rsid w:val="00C17633"/>
    <w:rsid w:val="00C23907"/>
    <w:rsid w:val="00C26B50"/>
    <w:rsid w:val="00C26D2A"/>
    <w:rsid w:val="00C27C40"/>
    <w:rsid w:val="00C34E92"/>
    <w:rsid w:val="00C36543"/>
    <w:rsid w:val="00C40AD4"/>
    <w:rsid w:val="00C4105C"/>
    <w:rsid w:val="00C4282F"/>
    <w:rsid w:val="00C43295"/>
    <w:rsid w:val="00C5552B"/>
    <w:rsid w:val="00C60021"/>
    <w:rsid w:val="00C61F7C"/>
    <w:rsid w:val="00C622E1"/>
    <w:rsid w:val="00C62551"/>
    <w:rsid w:val="00C62F23"/>
    <w:rsid w:val="00C724E5"/>
    <w:rsid w:val="00C73188"/>
    <w:rsid w:val="00C75B61"/>
    <w:rsid w:val="00C832CD"/>
    <w:rsid w:val="00C845A9"/>
    <w:rsid w:val="00C85DCE"/>
    <w:rsid w:val="00C874A8"/>
    <w:rsid w:val="00C90F48"/>
    <w:rsid w:val="00C9509F"/>
    <w:rsid w:val="00C953A4"/>
    <w:rsid w:val="00C96E8D"/>
    <w:rsid w:val="00CA13D2"/>
    <w:rsid w:val="00CA5078"/>
    <w:rsid w:val="00CC747B"/>
    <w:rsid w:val="00CD2314"/>
    <w:rsid w:val="00CD297B"/>
    <w:rsid w:val="00CD435A"/>
    <w:rsid w:val="00CD6546"/>
    <w:rsid w:val="00CE2252"/>
    <w:rsid w:val="00CE2643"/>
    <w:rsid w:val="00CE46A4"/>
    <w:rsid w:val="00CE5650"/>
    <w:rsid w:val="00CF20A7"/>
    <w:rsid w:val="00D03AF1"/>
    <w:rsid w:val="00D077F0"/>
    <w:rsid w:val="00D12F89"/>
    <w:rsid w:val="00D201EC"/>
    <w:rsid w:val="00D21E18"/>
    <w:rsid w:val="00D26A0A"/>
    <w:rsid w:val="00D26BD3"/>
    <w:rsid w:val="00D3278F"/>
    <w:rsid w:val="00D3600C"/>
    <w:rsid w:val="00D4071E"/>
    <w:rsid w:val="00D44C29"/>
    <w:rsid w:val="00D44FD6"/>
    <w:rsid w:val="00D477DC"/>
    <w:rsid w:val="00D514C5"/>
    <w:rsid w:val="00D517A5"/>
    <w:rsid w:val="00D53522"/>
    <w:rsid w:val="00D57107"/>
    <w:rsid w:val="00D6386F"/>
    <w:rsid w:val="00D6771E"/>
    <w:rsid w:val="00D7004E"/>
    <w:rsid w:val="00D7026E"/>
    <w:rsid w:val="00D7238F"/>
    <w:rsid w:val="00D73838"/>
    <w:rsid w:val="00D747E4"/>
    <w:rsid w:val="00D75EF6"/>
    <w:rsid w:val="00D809E9"/>
    <w:rsid w:val="00D84FA1"/>
    <w:rsid w:val="00D870C3"/>
    <w:rsid w:val="00D87E5B"/>
    <w:rsid w:val="00D91AF4"/>
    <w:rsid w:val="00D91BA6"/>
    <w:rsid w:val="00D92C72"/>
    <w:rsid w:val="00D97F65"/>
    <w:rsid w:val="00DB055A"/>
    <w:rsid w:val="00DB5B90"/>
    <w:rsid w:val="00DB6607"/>
    <w:rsid w:val="00DB73F7"/>
    <w:rsid w:val="00DC3039"/>
    <w:rsid w:val="00DC4ECE"/>
    <w:rsid w:val="00DC7928"/>
    <w:rsid w:val="00DD0438"/>
    <w:rsid w:val="00DD25F2"/>
    <w:rsid w:val="00DE04B3"/>
    <w:rsid w:val="00DF140D"/>
    <w:rsid w:val="00DF4C4E"/>
    <w:rsid w:val="00DF4FDE"/>
    <w:rsid w:val="00DF538E"/>
    <w:rsid w:val="00DF6EE1"/>
    <w:rsid w:val="00E04558"/>
    <w:rsid w:val="00E06C9F"/>
    <w:rsid w:val="00E105DA"/>
    <w:rsid w:val="00E11A18"/>
    <w:rsid w:val="00E13A19"/>
    <w:rsid w:val="00E13F1E"/>
    <w:rsid w:val="00E15A31"/>
    <w:rsid w:val="00E17006"/>
    <w:rsid w:val="00E172FE"/>
    <w:rsid w:val="00E17724"/>
    <w:rsid w:val="00E20146"/>
    <w:rsid w:val="00E2117E"/>
    <w:rsid w:val="00E2328F"/>
    <w:rsid w:val="00E23543"/>
    <w:rsid w:val="00E23CDF"/>
    <w:rsid w:val="00E26882"/>
    <w:rsid w:val="00E3006D"/>
    <w:rsid w:val="00E31786"/>
    <w:rsid w:val="00E32EF4"/>
    <w:rsid w:val="00E35884"/>
    <w:rsid w:val="00E3696B"/>
    <w:rsid w:val="00E37BDD"/>
    <w:rsid w:val="00E4229B"/>
    <w:rsid w:val="00E42A4B"/>
    <w:rsid w:val="00E4480E"/>
    <w:rsid w:val="00E45A5D"/>
    <w:rsid w:val="00E46847"/>
    <w:rsid w:val="00E46A58"/>
    <w:rsid w:val="00E46AD7"/>
    <w:rsid w:val="00E47B7D"/>
    <w:rsid w:val="00E535C3"/>
    <w:rsid w:val="00E55577"/>
    <w:rsid w:val="00E61280"/>
    <w:rsid w:val="00E6571F"/>
    <w:rsid w:val="00E7129D"/>
    <w:rsid w:val="00E76ED5"/>
    <w:rsid w:val="00E7752E"/>
    <w:rsid w:val="00E85A23"/>
    <w:rsid w:val="00E87D1B"/>
    <w:rsid w:val="00E918C3"/>
    <w:rsid w:val="00E91FF2"/>
    <w:rsid w:val="00E93061"/>
    <w:rsid w:val="00E95617"/>
    <w:rsid w:val="00EA2627"/>
    <w:rsid w:val="00EA352B"/>
    <w:rsid w:val="00EA35C5"/>
    <w:rsid w:val="00EB752F"/>
    <w:rsid w:val="00EB7F5D"/>
    <w:rsid w:val="00ED075F"/>
    <w:rsid w:val="00ED2CEC"/>
    <w:rsid w:val="00EF15F2"/>
    <w:rsid w:val="00EF19E8"/>
    <w:rsid w:val="00EF334B"/>
    <w:rsid w:val="00EF4A37"/>
    <w:rsid w:val="00EF5486"/>
    <w:rsid w:val="00EF7D44"/>
    <w:rsid w:val="00F021BF"/>
    <w:rsid w:val="00F06A9A"/>
    <w:rsid w:val="00F11D68"/>
    <w:rsid w:val="00F124B2"/>
    <w:rsid w:val="00F21D03"/>
    <w:rsid w:val="00F222AF"/>
    <w:rsid w:val="00F2758A"/>
    <w:rsid w:val="00F3114F"/>
    <w:rsid w:val="00F36A7F"/>
    <w:rsid w:val="00F37321"/>
    <w:rsid w:val="00F379F6"/>
    <w:rsid w:val="00F40400"/>
    <w:rsid w:val="00F4082A"/>
    <w:rsid w:val="00F421A3"/>
    <w:rsid w:val="00F43AA1"/>
    <w:rsid w:val="00F508BA"/>
    <w:rsid w:val="00F53D0F"/>
    <w:rsid w:val="00F560E3"/>
    <w:rsid w:val="00F578F6"/>
    <w:rsid w:val="00F64848"/>
    <w:rsid w:val="00F64968"/>
    <w:rsid w:val="00F72231"/>
    <w:rsid w:val="00F73CDC"/>
    <w:rsid w:val="00F73E3C"/>
    <w:rsid w:val="00F80E9C"/>
    <w:rsid w:val="00F80EA0"/>
    <w:rsid w:val="00F80F46"/>
    <w:rsid w:val="00F85B47"/>
    <w:rsid w:val="00F867E5"/>
    <w:rsid w:val="00F86849"/>
    <w:rsid w:val="00F86FB5"/>
    <w:rsid w:val="00F95985"/>
    <w:rsid w:val="00F96B67"/>
    <w:rsid w:val="00FA7699"/>
    <w:rsid w:val="00FA7F81"/>
    <w:rsid w:val="00FB6DAB"/>
    <w:rsid w:val="00FC58E5"/>
    <w:rsid w:val="00FC5E6B"/>
    <w:rsid w:val="00FC6DE1"/>
    <w:rsid w:val="00FD0613"/>
    <w:rsid w:val="00FD06F7"/>
    <w:rsid w:val="00FD62FA"/>
    <w:rsid w:val="00FE3801"/>
    <w:rsid w:val="00FE68CC"/>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15:docId w15:val="{770FAF22-0772-470C-9090-6B2449E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132D6F"/>
    <w:pPr>
      <w:spacing w:before="120" w:after="120"/>
      <w:jc w:val="center"/>
    </w:pPr>
    <w:rPr>
      <w:rFonts w:ascii="Arial" w:hAnsi="Arial"/>
      <w:b/>
      <w:bCs/>
      <w:sz w:val="20"/>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
    <w:link w:val="XMLChar"/>
    <w:qFormat/>
    <w:rsid w:val="00900EC7"/>
    <w:pPr>
      <w:pBdr>
        <w:top w:val="single" w:sz="4" w:space="1" w:color="auto"/>
        <w:left w:val="single" w:sz="4" w:space="4" w:color="auto"/>
        <w:bottom w:val="single" w:sz="4" w:space="1" w:color="auto"/>
        <w:right w:val="single" w:sz="4" w:space="4" w:color="auto"/>
      </w:pBdr>
      <w:spacing w:line="252" w:lineRule="auto"/>
      <w:contextualSpacing/>
      <w:jc w:val="left"/>
    </w:pPr>
    <w:rPr>
      <w:rFonts w:ascii="Courier New" w:eastAsia="MS Mincho" w:hAnsi="Courier New" w:cs="Courier New"/>
      <w:sz w:val="16"/>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900EC7"/>
    <w:rPr>
      <w:rFonts w:ascii="Courier New" w:eastAsia="MS Mincho" w:hAnsi="Courier New" w:cs="Courier New"/>
      <w:sz w:val="16"/>
      <w:szCs w:val="24"/>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customStyle="1" w:styleId="html-tag">
    <w:name w:val="html-tag"/>
    <w:basedOn w:val="DefaultParagraphFont"/>
    <w:rsid w:val="005F1704"/>
  </w:style>
  <w:style w:type="character" w:customStyle="1" w:styleId="html-attribute">
    <w:name w:val="html-attribute"/>
    <w:basedOn w:val="DefaultParagraphFont"/>
    <w:rsid w:val="005F1704"/>
  </w:style>
  <w:style w:type="character" w:customStyle="1" w:styleId="html-attribute-name">
    <w:name w:val="html-attribute-name"/>
    <w:basedOn w:val="DefaultParagraphFont"/>
    <w:rsid w:val="005F1704"/>
  </w:style>
  <w:style w:type="character" w:customStyle="1" w:styleId="html-attribute-value">
    <w:name w:val="html-attribute-value"/>
    <w:basedOn w:val="DefaultParagraphFont"/>
    <w:rsid w:val="005F1704"/>
  </w:style>
  <w:style w:type="character" w:customStyle="1" w:styleId="comment">
    <w:name w:val="comment"/>
    <w:basedOn w:val="DefaultParagraphFont"/>
    <w:rsid w:val="005F1704"/>
  </w:style>
  <w:style w:type="paragraph" w:customStyle="1" w:styleId="Figure">
    <w:name w:val="Figure"/>
    <w:basedOn w:val="Normal"/>
    <w:qFormat/>
    <w:rsid w:val="00980356"/>
    <w:pPr>
      <w:spacing w:before="200" w:after="200" w:line="276" w:lineRule="auto"/>
      <w:jc w:val="center"/>
    </w:pPr>
    <w:rPr>
      <w:rFonts w:asciiTheme="minorHAnsi" w:eastAsiaTheme="minorEastAsia" w:hAnsiTheme="minorHAnsi" w:cstheme="minorBidi"/>
      <w:noProof/>
      <w:sz w:val="22"/>
      <w:szCs w:val="22"/>
    </w:rPr>
  </w:style>
  <w:style w:type="paragraph" w:customStyle="1" w:styleId="Verbatim">
    <w:name w:val="Verbatim"/>
    <w:basedOn w:val="Normal"/>
    <w:qFormat/>
    <w:rsid w:val="00132D6F"/>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9D9D9"/>
      <w:tabs>
        <w:tab w:val="left" w:pos="480"/>
        <w:tab w:val="left" w:pos="720"/>
        <w:tab w:val="left" w:pos="960"/>
        <w:tab w:val="left" w:pos="1200"/>
        <w:tab w:val="left" w:pos="1440"/>
        <w:tab w:val="left" w:pos="1680"/>
        <w:tab w:val="left" w:pos="1920"/>
        <w:tab w:val="left" w:pos="2160"/>
      </w:tabs>
      <w:spacing w:before="80"/>
      <w:ind w:left="2348" w:right="187" w:hanging="2074"/>
      <w:jc w:val="left"/>
    </w:pPr>
    <w:rPr>
      <w:rFonts w:ascii="Courier New" w:hAnsi="Courier New" w:cs="Courier New"/>
      <w:noProof/>
      <w:sz w:val="18"/>
      <w:szCs w:val="18"/>
    </w:rPr>
  </w:style>
  <w:style w:type="paragraph" w:customStyle="1" w:styleId="BodyBullets">
    <w:name w:val="Body Bullets"/>
    <w:basedOn w:val="Body"/>
    <w:qFormat/>
    <w:rsid w:val="00132D6F"/>
    <w:pPr>
      <w:numPr>
        <w:numId w:val="26"/>
      </w:numPr>
      <w:suppressAutoHyphens/>
      <w:spacing w:after="120" w:line="320" w:lineRule="exact"/>
    </w:pPr>
    <w:rPr>
      <w:rFonts w:asciiTheme="minorHAnsi" w:hAnsiTheme="minorHAnsi" w:cs="Calibri"/>
      <w:sz w:val="22"/>
      <w:szCs w:val="22"/>
      <w:lang w:eastAsia="ar-SA"/>
    </w:rPr>
  </w:style>
  <w:style w:type="character" w:customStyle="1" w:styleId="Keyword">
    <w:name w:val="Keyword"/>
    <w:basedOn w:val="DefaultParagraphFont"/>
    <w:uiPriority w:val="1"/>
    <w:qFormat/>
    <w:rsid w:val="00132D6F"/>
    <w:rPr>
      <w:rFonts w:ascii="Courier New" w:hAnsi="Courier New" w:cs="Courier New"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5453">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84468973">
      <w:bodyDiv w:val="1"/>
      <w:marLeft w:val="0"/>
      <w:marRight w:val="0"/>
      <w:marTop w:val="0"/>
      <w:marBottom w:val="0"/>
      <w:divBdr>
        <w:top w:val="none" w:sz="0" w:space="0" w:color="auto"/>
        <w:left w:val="none" w:sz="0" w:space="0" w:color="auto"/>
        <w:bottom w:val="none" w:sz="0" w:space="0" w:color="auto"/>
        <w:right w:val="none" w:sz="0" w:space="0" w:color="auto"/>
      </w:divBdr>
    </w:div>
    <w:div w:id="1371883186">
      <w:bodyDiv w:val="1"/>
      <w:marLeft w:val="0"/>
      <w:marRight w:val="0"/>
      <w:marTop w:val="0"/>
      <w:marBottom w:val="0"/>
      <w:divBdr>
        <w:top w:val="none" w:sz="0" w:space="0" w:color="auto"/>
        <w:left w:val="none" w:sz="0" w:space="0" w:color="auto"/>
        <w:bottom w:val="none" w:sz="0" w:space="0" w:color="auto"/>
        <w:right w:val="none" w:sz="0" w:space="0" w:color="auto"/>
      </w:divBdr>
    </w:div>
    <w:div w:id="1519738915">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 w:id="810052551">
          <w:marLeft w:val="806"/>
          <w:marRight w:val="0"/>
          <w:marTop w:val="125"/>
          <w:marBottom w:val="0"/>
          <w:divBdr>
            <w:top w:val="none" w:sz="0" w:space="0" w:color="auto"/>
            <w:left w:val="none" w:sz="0" w:space="0" w:color="auto"/>
            <w:bottom w:val="none" w:sz="0" w:space="0" w:color="auto"/>
            <w:right w:val="none" w:sz="0" w:space="0" w:color="auto"/>
          </w:divBdr>
        </w:div>
      </w:divsChild>
    </w:div>
    <w:div w:id="1791195386">
      <w:bodyDiv w:val="1"/>
      <w:marLeft w:val="0"/>
      <w:marRight w:val="0"/>
      <w:marTop w:val="0"/>
      <w:marBottom w:val="0"/>
      <w:divBdr>
        <w:top w:val="none" w:sz="0" w:space="0" w:color="auto"/>
        <w:left w:val="none" w:sz="0" w:space="0" w:color="auto"/>
        <w:bottom w:val="none" w:sz="0" w:space="0" w:color="auto"/>
        <w:right w:val="none" w:sz="0" w:space="0" w:color="auto"/>
      </w:divBdr>
      <w:divsChild>
        <w:div w:id="143621102">
          <w:marLeft w:val="0"/>
          <w:marRight w:val="0"/>
          <w:marTop w:val="0"/>
          <w:marBottom w:val="0"/>
          <w:divBdr>
            <w:top w:val="none" w:sz="0" w:space="0" w:color="auto"/>
            <w:left w:val="none" w:sz="0" w:space="0" w:color="auto"/>
            <w:bottom w:val="none" w:sz="0" w:space="0" w:color="auto"/>
            <w:right w:val="none" w:sz="0" w:space="0" w:color="auto"/>
          </w:divBdr>
        </w:div>
        <w:div w:id="1852988569">
          <w:marLeft w:val="240"/>
          <w:marRight w:val="0"/>
          <w:marTop w:val="0"/>
          <w:marBottom w:val="0"/>
          <w:divBdr>
            <w:top w:val="none" w:sz="0" w:space="0" w:color="auto"/>
            <w:left w:val="none" w:sz="0" w:space="0" w:color="auto"/>
            <w:bottom w:val="none" w:sz="0" w:space="0" w:color="auto"/>
            <w:right w:val="none" w:sz="0" w:space="0" w:color="auto"/>
          </w:divBdr>
          <w:divsChild>
            <w:div w:id="622464694">
              <w:marLeft w:val="0"/>
              <w:marRight w:val="0"/>
              <w:marTop w:val="0"/>
              <w:marBottom w:val="0"/>
              <w:divBdr>
                <w:top w:val="none" w:sz="0" w:space="0" w:color="auto"/>
                <w:left w:val="none" w:sz="0" w:space="0" w:color="auto"/>
                <w:bottom w:val="none" w:sz="0" w:space="0" w:color="auto"/>
                <w:right w:val="none" w:sz="0" w:space="0" w:color="auto"/>
              </w:divBdr>
              <w:divsChild>
                <w:div w:id="155923941">
                  <w:marLeft w:val="0"/>
                  <w:marRight w:val="0"/>
                  <w:marTop w:val="0"/>
                  <w:marBottom w:val="0"/>
                  <w:divBdr>
                    <w:top w:val="none" w:sz="0" w:space="0" w:color="auto"/>
                    <w:left w:val="none" w:sz="0" w:space="0" w:color="auto"/>
                    <w:bottom w:val="none" w:sz="0" w:space="0" w:color="auto"/>
                    <w:right w:val="none" w:sz="0" w:space="0" w:color="auto"/>
                  </w:divBdr>
                  <w:divsChild>
                    <w:div w:id="106581604">
                      <w:marLeft w:val="0"/>
                      <w:marRight w:val="0"/>
                      <w:marTop w:val="0"/>
                      <w:marBottom w:val="0"/>
                      <w:divBdr>
                        <w:top w:val="none" w:sz="0" w:space="0" w:color="auto"/>
                        <w:left w:val="none" w:sz="0" w:space="0" w:color="auto"/>
                        <w:bottom w:val="none" w:sz="0" w:space="0" w:color="auto"/>
                        <w:right w:val="none" w:sz="0" w:space="0" w:color="auto"/>
                      </w:divBdr>
                    </w:div>
                    <w:div w:id="1856459748">
                      <w:marLeft w:val="240"/>
                      <w:marRight w:val="0"/>
                      <w:marTop w:val="0"/>
                      <w:marBottom w:val="0"/>
                      <w:divBdr>
                        <w:top w:val="none" w:sz="0" w:space="0" w:color="auto"/>
                        <w:left w:val="none" w:sz="0" w:space="0" w:color="auto"/>
                        <w:bottom w:val="none" w:sz="0" w:space="0" w:color="auto"/>
                        <w:right w:val="none" w:sz="0" w:space="0" w:color="auto"/>
                      </w:divBdr>
                      <w:divsChild>
                        <w:div w:id="1821074933">
                          <w:marLeft w:val="0"/>
                          <w:marRight w:val="0"/>
                          <w:marTop w:val="0"/>
                          <w:marBottom w:val="0"/>
                          <w:divBdr>
                            <w:top w:val="none" w:sz="0" w:space="0" w:color="auto"/>
                            <w:left w:val="none" w:sz="0" w:space="0" w:color="auto"/>
                            <w:bottom w:val="none" w:sz="0" w:space="0" w:color="auto"/>
                            <w:right w:val="none" w:sz="0" w:space="0" w:color="auto"/>
                          </w:divBdr>
                        </w:div>
                        <w:div w:id="2138521139">
                          <w:marLeft w:val="0"/>
                          <w:marRight w:val="0"/>
                          <w:marTop w:val="0"/>
                          <w:marBottom w:val="0"/>
                          <w:divBdr>
                            <w:top w:val="none" w:sz="0" w:space="0" w:color="auto"/>
                            <w:left w:val="none" w:sz="0" w:space="0" w:color="auto"/>
                            <w:bottom w:val="none" w:sz="0" w:space="0" w:color="auto"/>
                            <w:right w:val="none" w:sz="0" w:space="0" w:color="auto"/>
                          </w:divBdr>
                          <w:divsChild>
                            <w:div w:id="1182864585">
                              <w:marLeft w:val="0"/>
                              <w:marRight w:val="0"/>
                              <w:marTop w:val="0"/>
                              <w:marBottom w:val="0"/>
                              <w:divBdr>
                                <w:top w:val="none" w:sz="0" w:space="0" w:color="auto"/>
                                <w:left w:val="none" w:sz="0" w:space="0" w:color="auto"/>
                                <w:bottom w:val="none" w:sz="0" w:space="0" w:color="auto"/>
                                <w:right w:val="none" w:sz="0" w:space="0" w:color="auto"/>
                              </w:divBdr>
                              <w:divsChild>
                                <w:div w:id="355615586">
                                  <w:marLeft w:val="0"/>
                                  <w:marRight w:val="0"/>
                                  <w:marTop w:val="0"/>
                                  <w:marBottom w:val="0"/>
                                  <w:divBdr>
                                    <w:top w:val="none" w:sz="0" w:space="0" w:color="auto"/>
                                    <w:left w:val="none" w:sz="0" w:space="0" w:color="auto"/>
                                    <w:bottom w:val="none" w:sz="0" w:space="0" w:color="auto"/>
                                    <w:right w:val="none" w:sz="0" w:space="0" w:color="auto"/>
                                  </w:divBdr>
                                </w:div>
                                <w:div w:id="840051436">
                                  <w:marLeft w:val="240"/>
                                  <w:marRight w:val="0"/>
                                  <w:marTop w:val="0"/>
                                  <w:marBottom w:val="0"/>
                                  <w:divBdr>
                                    <w:top w:val="none" w:sz="0" w:space="0" w:color="auto"/>
                                    <w:left w:val="none" w:sz="0" w:space="0" w:color="auto"/>
                                    <w:bottom w:val="none" w:sz="0" w:space="0" w:color="auto"/>
                                    <w:right w:val="none" w:sz="0" w:space="0" w:color="auto"/>
                                  </w:divBdr>
                                </w:div>
                                <w:div w:id="629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573">
                          <w:marLeft w:val="0"/>
                          <w:marRight w:val="0"/>
                          <w:marTop w:val="0"/>
                          <w:marBottom w:val="0"/>
                          <w:divBdr>
                            <w:top w:val="none" w:sz="0" w:space="0" w:color="auto"/>
                            <w:left w:val="none" w:sz="0" w:space="0" w:color="auto"/>
                            <w:bottom w:val="none" w:sz="0" w:space="0" w:color="auto"/>
                            <w:right w:val="none" w:sz="0" w:space="0" w:color="auto"/>
                          </w:divBdr>
                          <w:divsChild>
                            <w:div w:id="979112402">
                              <w:marLeft w:val="0"/>
                              <w:marRight w:val="0"/>
                              <w:marTop w:val="0"/>
                              <w:marBottom w:val="0"/>
                              <w:divBdr>
                                <w:top w:val="none" w:sz="0" w:space="0" w:color="auto"/>
                                <w:left w:val="none" w:sz="0" w:space="0" w:color="auto"/>
                                <w:bottom w:val="none" w:sz="0" w:space="0" w:color="auto"/>
                                <w:right w:val="none" w:sz="0" w:space="0" w:color="auto"/>
                              </w:divBdr>
                              <w:divsChild>
                                <w:div w:id="1329211171">
                                  <w:marLeft w:val="0"/>
                                  <w:marRight w:val="0"/>
                                  <w:marTop w:val="0"/>
                                  <w:marBottom w:val="0"/>
                                  <w:divBdr>
                                    <w:top w:val="none" w:sz="0" w:space="0" w:color="auto"/>
                                    <w:left w:val="none" w:sz="0" w:space="0" w:color="auto"/>
                                    <w:bottom w:val="none" w:sz="0" w:space="0" w:color="auto"/>
                                    <w:right w:val="none" w:sz="0" w:space="0" w:color="auto"/>
                                  </w:divBdr>
                                </w:div>
                                <w:div w:id="151265603">
                                  <w:marLeft w:val="240"/>
                                  <w:marRight w:val="0"/>
                                  <w:marTop w:val="0"/>
                                  <w:marBottom w:val="0"/>
                                  <w:divBdr>
                                    <w:top w:val="none" w:sz="0" w:space="0" w:color="auto"/>
                                    <w:left w:val="none" w:sz="0" w:space="0" w:color="auto"/>
                                    <w:bottom w:val="none" w:sz="0" w:space="0" w:color="auto"/>
                                    <w:right w:val="none" w:sz="0" w:space="0" w:color="auto"/>
                                  </w:divBdr>
                                  <w:divsChild>
                                    <w:div w:id="1351030722">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6941762">
                                              <w:marLeft w:val="0"/>
                                              <w:marRight w:val="0"/>
                                              <w:marTop w:val="0"/>
                                              <w:marBottom w:val="0"/>
                                              <w:divBdr>
                                                <w:top w:val="none" w:sz="0" w:space="0" w:color="auto"/>
                                                <w:left w:val="none" w:sz="0" w:space="0" w:color="auto"/>
                                                <w:bottom w:val="none" w:sz="0" w:space="0" w:color="auto"/>
                                                <w:right w:val="none" w:sz="0" w:space="0" w:color="auto"/>
                                              </w:divBdr>
                                            </w:div>
                                            <w:div w:id="768087059">
                                              <w:marLeft w:val="24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4970">
          <w:marLeft w:val="0"/>
          <w:marRight w:val="0"/>
          <w:marTop w:val="0"/>
          <w:marBottom w:val="0"/>
          <w:divBdr>
            <w:top w:val="none" w:sz="0" w:space="0" w:color="auto"/>
            <w:left w:val="none" w:sz="0" w:space="0" w:color="auto"/>
            <w:bottom w:val="none" w:sz="0" w:space="0" w:color="auto"/>
            <w:right w:val="none" w:sz="0" w:space="0" w:color="auto"/>
          </w:divBdr>
        </w:div>
      </w:divsChild>
    </w:div>
    <w:div w:id="19776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vielabs.com/md/manifest" TargetMode="External"/><Relationship Id="rId18" Type="http://schemas.openxmlformats.org/officeDocument/2006/relationships/hyperlink" Target="http://www.movielabs.com/md/avails"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support.google.com/moviestvpartners/answer/6154374" TargetMode="External"/><Relationship Id="rId7" Type="http://schemas.openxmlformats.org/officeDocument/2006/relationships/endnotes" Target="endnotes.xml"/><Relationship Id="rId12" Type="http://schemas.openxmlformats.org/officeDocument/2006/relationships/hyperlink" Target="http://www.movielabs.com/md/manifest" TargetMode="External"/><Relationship Id="rId17" Type="http://schemas.openxmlformats.org/officeDocument/2006/relationships/hyperlink" Target="http://entmerch.org/programsinitiatives/ema-metadata-structure"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movielabs.com/md/mec" TargetMode="External"/><Relationship Id="rId20" Type="http://schemas.openxmlformats.org/officeDocument/2006/relationships/hyperlink" Target="http://www.movielabs.com/md/manifest"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eidr.org/technology/" TargetMode="External"/><Relationship Id="rId23" Type="http://schemas.openxmlformats.org/officeDocument/2006/relationships/hyperlink" Target="http://www.eidr.org" TargetMode="External"/><Relationship Id="rId28"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hyperlink" Target="http://www.smpt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vielabs.com/md" TargetMode="External"/><Relationship Id="rId22" Type="http://schemas.openxmlformats.org/officeDocument/2006/relationships/hyperlink" Target="http://www.movielabs.com/md/mmc" TargetMode="External"/><Relationship Id="rId27" Type="http://schemas.openxmlformats.org/officeDocument/2006/relationships/oleObject" Target="embeddings/oleObject3.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FECC-4E44-48B9-8221-CF26EF16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42</TotalTime>
  <Pages>20</Pages>
  <Words>3705</Words>
  <Characters>23664</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Media Manifest Core (MMC)</vt:lpstr>
    </vt:vector>
  </TitlesOfParts>
  <Company>MovieLabs</Company>
  <LinksUpToDate>false</LinksUpToDate>
  <CharactersWithSpaces>27315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Core (MMC)</dc:title>
  <dc:subject>Lab</dc:subject>
  <dc:creator>Craig Seidel</dc:creator>
  <cp:lastModifiedBy>Craig Seidel</cp:lastModifiedBy>
  <cp:revision>4</cp:revision>
  <cp:lastPrinted>2016-01-04T18:47:00Z</cp:lastPrinted>
  <dcterms:created xsi:type="dcterms:W3CDTF">2016-02-02T07:51:00Z</dcterms:created>
  <dcterms:modified xsi:type="dcterms:W3CDTF">2016-02-02T08:33:00Z</dcterms:modified>
</cp:coreProperties>
</file>